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80" w:afterAutospacing="1"/>
        <w:jc w:val="center"/>
        <w:rPr>
          <w:rFonts w:ascii="宋体" w:hAnsi="宋体"/>
          <w:b/>
          <w:sz w:val="32"/>
          <w:szCs w:val="24"/>
        </w:rPr>
      </w:pPr>
      <w:r>
        <w:rPr>
          <w:rFonts w:hint="eastAsia" w:ascii="宋体" w:hAnsi="宋体"/>
          <w:b/>
          <w:sz w:val="32"/>
          <w:szCs w:val="24"/>
        </w:rPr>
        <w:t>蓝光发展2018届“光芒生”校园招聘</w:t>
      </w:r>
    </w:p>
    <w:p>
      <w:pPr>
        <w:spacing w:after="280" w:afterAutospacing="1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一、蓝光集团简介</w:t>
      </w:r>
    </w:p>
    <w:p>
      <w:pPr>
        <w:pBdr>
          <w:top w:val="single" w:color="FDFCFC" w:sz="0" w:space="0"/>
          <w:left w:val="single" w:color="FDFCFC" w:sz="0" w:space="0"/>
          <w:bottom w:val="single" w:color="FDFCFC" w:sz="0" w:space="0"/>
          <w:right w:val="single" w:color="FDFCFC" w:sz="0" w:space="0"/>
        </w:pBdr>
        <w:spacing w:line="360" w:lineRule="auto"/>
        <w:ind w:firstLine="400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/>
          <w:color w:val="000000" w:themeColor="text1"/>
          <w:sz w:val="24"/>
          <w:szCs w:val="24"/>
        </w:rPr>
        <w:t>蓝光投资控股集团有限公司（以下简称蓝光控股集团）成立于1990年。2015年4月16日，蓝光控股集团旗下四川蓝光发展股份有限公司（以下简称蓝光发展，证券代码：600466，SH）在上海证券交易所完成重组上市。蓝光发展，专注于人类生活的核心需求，提供从生活到生命的创新解决方案，为大众创造幸福生活。</w:t>
      </w:r>
      <w:r>
        <w:rPr>
          <w:rFonts w:ascii="宋体" w:hAnsi="宋体"/>
          <w:color w:val="000000" w:themeColor="text1"/>
          <w:sz w:val="24"/>
          <w:szCs w:val="24"/>
        </w:rPr>
        <w:br w:type="textWrapping"/>
      </w:r>
      <w:r>
        <w:rPr>
          <w:rFonts w:ascii="宋体" w:hAnsi="宋体"/>
          <w:color w:val="000000" w:themeColor="text1"/>
          <w:sz w:val="24"/>
          <w:szCs w:val="24"/>
        </w:rPr>
        <w:t xml:space="preserve">    蓝光发展确立了以“人居蓝光+生命蓝光”为双擎驱动的战略顶层设计，其中，人居蓝光以“地产金融+现代服务业”为核心基础产业；生命蓝光以“3D生物打印+生物医药”为创新支柱产业。</w:t>
      </w:r>
    </w:p>
    <w:p>
      <w:pPr>
        <w:pBdr>
          <w:top w:val="single" w:color="FDFCFC" w:sz="0" w:space="0"/>
          <w:left w:val="single" w:color="FDFCFC" w:sz="0" w:space="0"/>
          <w:bottom w:val="single" w:color="FDFCFC" w:sz="0" w:space="0"/>
          <w:right w:val="single" w:color="FDFCFC" w:sz="0" w:space="0"/>
        </w:pBdr>
        <w:spacing w:line="360" w:lineRule="auto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/>
          <w:color w:val="989898"/>
          <w:sz w:val="24"/>
          <w:szCs w:val="24"/>
        </w:rPr>
        <w:t xml:space="preserve">    </w:t>
      </w:r>
      <w:r>
        <w:rPr>
          <w:rFonts w:ascii="宋体" w:hAnsi="宋体"/>
          <w:color w:val="000000" w:themeColor="text1"/>
          <w:sz w:val="24"/>
          <w:szCs w:val="24"/>
        </w:rPr>
        <w:t>2017年，蓝光发展蝉联中国房地产百强综合实力第23位，并首次跻身百强房企稳健性TOP10，高居第4位。同时，蓝光发展还荣获2016年度中国房地产公司品牌价值(混合所有)TOP9，高达107亿元，并连续两年荣膺中国十大最具投资价值上市房企，2016年高居TOP5。</w:t>
      </w:r>
    </w:p>
    <w:p>
      <w:pPr>
        <w:pBdr>
          <w:top w:val="single" w:color="FDFCFC" w:sz="0" w:space="0"/>
          <w:left w:val="single" w:color="FDFCFC" w:sz="0" w:space="0"/>
          <w:bottom w:val="single" w:color="FDFCFC" w:sz="0" w:space="0"/>
          <w:right w:val="single" w:color="FDFCFC" w:sz="0" w:space="0"/>
        </w:pBdr>
        <w:spacing w:after="280" w:line="360" w:lineRule="auto"/>
        <w:rPr>
          <w:rFonts w:ascii="宋体" w:hAnsi="宋体"/>
          <w:b/>
          <w:sz w:val="24"/>
          <w:szCs w:val="24"/>
        </w:rPr>
      </w:pPr>
    </w:p>
    <w:p>
      <w:pPr>
        <w:pBdr>
          <w:top w:val="single" w:color="FDFCFC" w:sz="0" w:space="0"/>
          <w:left w:val="single" w:color="FDFCFC" w:sz="0" w:space="0"/>
          <w:bottom w:val="single" w:color="FDFCFC" w:sz="0" w:space="0"/>
          <w:right w:val="single" w:color="FDFCFC" w:sz="0" w:space="0"/>
        </w:pBdr>
        <w:spacing w:after="280"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二、光芒生计划</w:t>
      </w:r>
    </w:p>
    <w:p>
      <w:pPr>
        <w:pBdr>
          <w:top w:val="single" w:color="FDFCFC" w:sz="0" w:space="0"/>
          <w:left w:val="single" w:color="FDFCFC" w:sz="0" w:space="0"/>
          <w:bottom w:val="single" w:color="FDFCFC" w:sz="0" w:space="0"/>
          <w:right w:val="single" w:color="FDFCFC" w:sz="0" w:space="0"/>
        </w:pBdr>
        <w:spacing w:after="280"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 xml:space="preserve">   </w:t>
      </w:r>
      <w:r>
        <w:rPr>
          <w:rFonts w:ascii="宋体" w:hAnsi="宋体"/>
          <w:sz w:val="24"/>
          <w:szCs w:val="24"/>
        </w:rPr>
        <w:t>“光芒生”是蓝光发展（600466.SH）面向全国211、985院校本科及硕士应届毕业生进行招聘的管培生项目，其定位为业务及管理精英校园招聘，旨在打造公司中层管理者或高精尖技术专家。</w:t>
      </w:r>
    </w:p>
    <w:p>
      <w:pPr>
        <w:spacing w:after="280" w:afterAutospacing="1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岗位及专业需求：</w:t>
      </w:r>
    </w:p>
    <w:p>
      <w:pPr>
        <w:pStyle w:val="36"/>
        <w:spacing w:line="360" w:lineRule="auto"/>
        <w:ind w:firstLine="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b/>
          <w:color w:val="000000"/>
          <w:sz w:val="24"/>
          <w:szCs w:val="24"/>
        </w:rPr>
        <w:t>1）研发设计岗</w:t>
      </w:r>
      <w:r>
        <w:rPr>
          <w:rFonts w:ascii="宋体" w:hAnsi="宋体"/>
          <w:b/>
          <w:sz w:val="24"/>
          <w:szCs w:val="24"/>
        </w:rPr>
        <w:t>：</w:t>
      </w:r>
      <w:r>
        <w:rPr>
          <w:rFonts w:ascii="宋体" w:hAnsi="宋体"/>
          <w:color w:val="000000"/>
          <w:sz w:val="24"/>
          <w:szCs w:val="24"/>
        </w:rPr>
        <w:t>建筑学、建筑设计、城市规划、园林设计、景观设计、艺术设计等专业</w:t>
      </w:r>
    </w:p>
    <w:p>
      <w:pPr>
        <w:pStyle w:val="36"/>
        <w:spacing w:line="360" w:lineRule="auto"/>
        <w:ind w:firstLine="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2）</w:t>
      </w:r>
      <w:r>
        <w:rPr>
          <w:rFonts w:ascii="宋体" w:hAnsi="宋体"/>
          <w:b/>
          <w:color w:val="000000"/>
          <w:sz w:val="24"/>
          <w:szCs w:val="24"/>
        </w:rPr>
        <w:t>工程管理岗</w:t>
      </w:r>
      <w:r>
        <w:rPr>
          <w:rFonts w:ascii="宋体" w:hAnsi="宋体"/>
          <w:color w:val="000000"/>
          <w:sz w:val="24"/>
          <w:szCs w:val="24"/>
        </w:rPr>
        <w:t>：工程管理、土木工程、结构工程、建筑工程、给排水工程等</w:t>
      </w:r>
    </w:p>
    <w:p>
      <w:pPr>
        <w:pStyle w:val="36"/>
        <w:spacing w:line="360" w:lineRule="auto"/>
        <w:ind w:firstLine="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3）</w:t>
      </w:r>
      <w:r>
        <w:rPr>
          <w:rFonts w:ascii="宋体" w:hAnsi="宋体"/>
          <w:b/>
          <w:color w:val="000000"/>
          <w:sz w:val="24"/>
          <w:szCs w:val="24"/>
        </w:rPr>
        <w:t>成本造价岗</w:t>
      </w:r>
      <w:r>
        <w:rPr>
          <w:rFonts w:ascii="宋体" w:hAnsi="宋体"/>
          <w:color w:val="000000"/>
          <w:sz w:val="24"/>
          <w:szCs w:val="24"/>
        </w:rPr>
        <w:t>：工程造价、工程管理等</w:t>
      </w:r>
    </w:p>
    <w:p>
      <w:pPr>
        <w:pStyle w:val="36"/>
        <w:spacing w:line="360" w:lineRule="auto"/>
        <w:ind w:firstLine="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4）</w:t>
      </w:r>
      <w:r>
        <w:rPr>
          <w:rFonts w:ascii="宋体" w:hAnsi="宋体"/>
          <w:b/>
          <w:color w:val="000000"/>
          <w:sz w:val="24"/>
          <w:szCs w:val="24"/>
        </w:rPr>
        <w:t>投资管理岗</w:t>
      </w:r>
      <w:r>
        <w:rPr>
          <w:rFonts w:ascii="宋体" w:hAnsi="宋体"/>
          <w:color w:val="000000"/>
          <w:sz w:val="24"/>
          <w:szCs w:val="24"/>
        </w:rPr>
        <w:t>：房地产管理、土地资源管理、城市规划、经济学、法学等</w:t>
      </w:r>
    </w:p>
    <w:p>
      <w:pPr>
        <w:pStyle w:val="36"/>
        <w:spacing w:line="360" w:lineRule="auto"/>
        <w:ind w:firstLine="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5）</w:t>
      </w:r>
      <w:r>
        <w:rPr>
          <w:rFonts w:ascii="宋体" w:hAnsi="宋体"/>
          <w:b/>
          <w:color w:val="000000"/>
          <w:sz w:val="24"/>
          <w:szCs w:val="24"/>
        </w:rPr>
        <w:t>财务预算岗</w:t>
      </w:r>
      <w:r>
        <w:rPr>
          <w:rFonts w:ascii="宋体" w:hAnsi="宋体"/>
          <w:color w:val="000000"/>
          <w:sz w:val="24"/>
          <w:szCs w:val="24"/>
        </w:rPr>
        <w:t>：会计学、财务管理、税务管理等</w:t>
      </w:r>
    </w:p>
    <w:p>
      <w:pPr>
        <w:pStyle w:val="36"/>
        <w:spacing w:line="360" w:lineRule="auto"/>
        <w:ind w:firstLine="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6）</w:t>
      </w:r>
      <w:r>
        <w:rPr>
          <w:rFonts w:ascii="宋体" w:hAnsi="宋体"/>
          <w:b/>
          <w:color w:val="000000"/>
          <w:sz w:val="24"/>
          <w:szCs w:val="24"/>
        </w:rPr>
        <w:t>综合管理岗</w:t>
      </w:r>
      <w:r>
        <w:rPr>
          <w:rFonts w:ascii="宋体" w:hAnsi="宋体"/>
          <w:color w:val="000000"/>
          <w:sz w:val="24"/>
          <w:szCs w:val="24"/>
        </w:rPr>
        <w:t>：人力资源管理、企业管理、心理学、经济学</w:t>
      </w:r>
      <w:r>
        <w:rPr>
          <w:rFonts w:hint="eastAsia" w:ascii="宋体" w:hAnsi="宋体"/>
          <w:color w:val="000000"/>
          <w:sz w:val="24"/>
          <w:szCs w:val="24"/>
        </w:rPr>
        <w:t>、信息、计算机</w:t>
      </w:r>
      <w:r>
        <w:rPr>
          <w:rFonts w:ascii="宋体" w:hAnsi="宋体"/>
          <w:color w:val="000000"/>
          <w:sz w:val="24"/>
          <w:szCs w:val="24"/>
        </w:rPr>
        <w:t>等</w:t>
      </w:r>
    </w:p>
    <w:p>
      <w:pPr>
        <w:pStyle w:val="36"/>
        <w:spacing w:line="360" w:lineRule="auto"/>
        <w:ind w:firstLine="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7）</w:t>
      </w:r>
      <w:r>
        <w:rPr>
          <w:rFonts w:ascii="宋体" w:hAnsi="宋体"/>
          <w:b/>
          <w:color w:val="000000"/>
          <w:sz w:val="24"/>
          <w:szCs w:val="24"/>
        </w:rPr>
        <w:t>审计法务岗</w:t>
      </w:r>
      <w:r>
        <w:rPr>
          <w:rFonts w:ascii="宋体" w:hAnsi="宋体"/>
          <w:color w:val="000000"/>
          <w:sz w:val="24"/>
          <w:szCs w:val="24"/>
        </w:rPr>
        <w:t>：法学、财务管理、会计学等</w:t>
      </w:r>
    </w:p>
    <w:p>
      <w:pPr>
        <w:pStyle w:val="36"/>
        <w:spacing w:line="360" w:lineRule="auto"/>
        <w:ind w:firstLine="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8）</w:t>
      </w:r>
      <w:r>
        <w:rPr>
          <w:rFonts w:ascii="宋体" w:hAnsi="宋体"/>
          <w:b/>
          <w:color w:val="000000"/>
          <w:sz w:val="24"/>
          <w:szCs w:val="24"/>
        </w:rPr>
        <w:t>商业运营岗</w:t>
      </w:r>
      <w:r>
        <w:rPr>
          <w:rFonts w:ascii="宋体" w:hAnsi="宋体"/>
          <w:color w:val="000000"/>
          <w:sz w:val="24"/>
          <w:szCs w:val="24"/>
        </w:rPr>
        <w:t>：商业招商、运营类岗位，专业不限</w:t>
      </w:r>
    </w:p>
    <w:p>
      <w:pPr>
        <w:pStyle w:val="36"/>
        <w:spacing w:line="360" w:lineRule="auto"/>
        <w:ind w:left="0" w:leftChars="0" w:firstLine="0" w:firstLineChars="0"/>
        <w:rPr>
          <w:rFonts w:hint="eastAsia" w:ascii="宋体" w:hAnsi="宋体"/>
          <w:b/>
          <w:sz w:val="28"/>
          <w:szCs w:val="28"/>
          <w:lang w:eastAsia="zh-CN"/>
        </w:rPr>
      </w:pPr>
    </w:p>
    <w:p>
      <w:pPr>
        <w:pStyle w:val="36"/>
        <w:spacing w:line="360" w:lineRule="auto"/>
        <w:ind w:left="0" w:leftChars="0" w:firstLine="0" w:firstLineChars="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三</w:t>
      </w:r>
      <w:r>
        <w:rPr>
          <w:rFonts w:ascii="宋体" w:hAnsi="宋体"/>
          <w:b/>
          <w:sz w:val="28"/>
          <w:szCs w:val="28"/>
        </w:rPr>
        <w:t>、培养目标：</w:t>
      </w:r>
    </w:p>
    <w:p>
      <w:pPr>
        <w:pStyle w:val="36"/>
        <w:numPr>
          <w:ilvl w:val="0"/>
          <w:numId w:val="1"/>
        </w:numPr>
        <w:spacing w:line="360" w:lineRule="auto"/>
        <w:ind w:left="420" w:leftChars="0" w:hanging="420" w:firstLineChars="0"/>
        <w:rPr>
          <w:rFonts w:hint="eastAsia" w:ascii="宋体" w:hAnsi="宋体"/>
          <w:b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良好的潜质</w:t>
      </w:r>
    </w:p>
    <w:p>
      <w:pPr>
        <w:pStyle w:val="36"/>
        <w:spacing w:line="360" w:lineRule="auto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计划、组织、管理</w:t>
      </w:r>
    </w:p>
    <w:p>
      <w:pPr>
        <w:pStyle w:val="36"/>
        <w:numPr>
          <w:ilvl w:val="0"/>
          <w:numId w:val="1"/>
        </w:numPr>
        <w:spacing w:line="360" w:lineRule="auto"/>
        <w:ind w:left="420" w:leftChars="0" w:hanging="420" w:firstLineChars="0"/>
        <w:rPr>
          <w:rFonts w:hint="eastAsia" w:ascii="宋体" w:hAnsi="宋体"/>
          <w:b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扎实的基础</w:t>
      </w:r>
    </w:p>
    <w:p>
      <w:pPr>
        <w:pStyle w:val="36"/>
        <w:spacing w:line="360" w:lineRule="auto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懂一线、懂客户、懂产品</w:t>
      </w:r>
    </w:p>
    <w:p>
      <w:pPr>
        <w:pStyle w:val="36"/>
        <w:numPr>
          <w:ilvl w:val="0"/>
          <w:numId w:val="1"/>
        </w:numPr>
        <w:spacing w:line="360" w:lineRule="auto"/>
        <w:ind w:left="420" w:leftChars="0" w:hanging="420" w:firstLineChars="0"/>
        <w:rPr>
          <w:rFonts w:hint="eastAsia" w:ascii="宋体" w:hAnsi="宋体"/>
          <w:b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过硬的素质</w:t>
      </w:r>
    </w:p>
    <w:p>
      <w:pPr>
        <w:pStyle w:val="36"/>
        <w:spacing w:line="360" w:lineRule="auto"/>
        <w:rPr>
          <w:rFonts w:hint="eastAsia" w:ascii="宋体" w:hAnsi="宋体"/>
          <w:b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阳光、抗压、韧性</w:t>
      </w:r>
    </w:p>
    <w:p>
      <w:pPr>
        <w:pStyle w:val="36"/>
        <w:numPr>
          <w:numId w:val="0"/>
        </w:numPr>
        <w:spacing w:line="360" w:lineRule="auto"/>
        <w:jc w:val="left"/>
        <w:rPr>
          <w:rFonts w:hint="eastAsia" w:ascii="宋体" w:hAnsi="宋体"/>
          <w:b/>
          <w:sz w:val="28"/>
          <w:szCs w:val="28"/>
          <w:lang w:eastAsia="zh-CN"/>
        </w:rPr>
      </w:pPr>
    </w:p>
    <w:p>
      <w:pPr>
        <w:pStyle w:val="36"/>
        <w:numPr>
          <w:numId w:val="0"/>
        </w:numPr>
        <w:spacing w:line="360" w:lineRule="auto"/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四、</w:t>
      </w:r>
      <w:r>
        <w:rPr>
          <w:rFonts w:ascii="宋体" w:hAnsi="宋体"/>
          <w:b/>
          <w:sz w:val="28"/>
          <w:szCs w:val="28"/>
        </w:rPr>
        <w:t>培养思路：</w:t>
      </w:r>
    </w:p>
    <w:p>
      <w:pPr>
        <w:pStyle w:val="36"/>
        <w:numPr>
          <w:numId w:val="0"/>
        </w:numPr>
        <w:spacing w:line="360" w:lineRule="auto"/>
        <w:ind w:left="880" w:leftChars="0"/>
        <w:jc w:val="left"/>
        <w:rPr>
          <w:rFonts w:hint="eastAsia" w:ascii="宋体" w:hAnsi="宋体"/>
          <w:b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color w:val="000000"/>
          <w:sz w:val="24"/>
          <w:szCs w:val="24"/>
          <w:lang w:val="en-US" w:eastAsia="zh-CN"/>
        </w:rPr>
        <w:t>Step1:下一线，上上甘岭</w:t>
      </w:r>
    </w:p>
    <w:p>
      <w:pPr>
        <w:pStyle w:val="36"/>
        <w:numPr>
          <w:numId w:val="0"/>
        </w:numPr>
        <w:spacing w:line="360" w:lineRule="auto"/>
        <w:ind w:left="880" w:leftChars="0"/>
        <w:jc w:val="left"/>
        <w:rPr>
          <w:rFonts w:hint="eastAsia" w:ascii="宋体" w:hAnsi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在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营销、物业等职能进行轮岗历练，充分了解业务、经营与客户，从战斗中学习战斗</w:t>
      </w:r>
    </w:p>
    <w:p>
      <w:pPr>
        <w:pStyle w:val="36"/>
        <w:numPr>
          <w:ilvl w:val="0"/>
          <w:numId w:val="0"/>
        </w:numPr>
        <w:spacing w:line="360" w:lineRule="auto"/>
        <w:ind w:left="880" w:leftChars="0"/>
        <w:jc w:val="left"/>
        <w:rPr>
          <w:rFonts w:hint="eastAsia" w:ascii="宋体" w:hAnsi="宋体"/>
          <w:b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color w:val="000000"/>
          <w:sz w:val="24"/>
          <w:szCs w:val="24"/>
          <w:lang w:val="en-US" w:eastAsia="zh-CN"/>
        </w:rPr>
        <w:t>Step2:快速孵化</w:t>
      </w:r>
    </w:p>
    <w:p>
      <w:pPr>
        <w:pStyle w:val="36"/>
        <w:numPr>
          <w:numId w:val="0"/>
        </w:numPr>
        <w:spacing w:line="360" w:lineRule="auto"/>
        <w:ind w:left="880" w:leftChars="0"/>
        <w:jc w:val="left"/>
        <w:rPr>
          <w:rFonts w:hint="eastAsia" w:ascii="宋体" w:hAnsi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2-3年经理、5年总监，配以人才盘点、强制晋升、定期会议等机制让优秀者迅速成长和脱颖而出</w:t>
      </w:r>
    </w:p>
    <w:p>
      <w:pPr>
        <w:pStyle w:val="36"/>
        <w:numPr>
          <w:numId w:val="0"/>
        </w:numPr>
        <w:spacing w:line="360" w:lineRule="auto"/>
        <w:ind w:left="880" w:leftChars="0"/>
        <w:jc w:val="left"/>
        <w:rPr>
          <w:rFonts w:hint="eastAsia" w:ascii="宋体" w:hAnsi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000000"/>
          <w:sz w:val="24"/>
          <w:szCs w:val="24"/>
          <w:lang w:val="en-US" w:eastAsia="zh-CN"/>
        </w:rPr>
        <w:t>Step3:压迫式成长</w:t>
      </w:r>
    </w:p>
    <w:p>
      <w:pPr>
        <w:pStyle w:val="36"/>
        <w:numPr>
          <w:numId w:val="0"/>
        </w:numPr>
        <w:spacing w:line="360" w:lineRule="auto"/>
        <w:ind w:left="880" w:leftChars="0"/>
        <w:jc w:val="left"/>
        <w:rPr>
          <w:rFonts w:hint="eastAsia" w:ascii="宋体" w:hAnsi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设置节点考核，不进则退，末位淘汰，确保培养出来的都是能扛住压力、打赢硬仗的精兵</w:t>
      </w:r>
    </w:p>
    <w:p>
      <w:pPr>
        <w:pStyle w:val="36"/>
        <w:numPr>
          <w:numId w:val="0"/>
        </w:numPr>
        <w:spacing w:line="360" w:lineRule="auto"/>
        <w:ind w:left="880" w:leftChars="0"/>
        <w:jc w:val="left"/>
        <w:rPr>
          <w:rFonts w:hint="eastAsia" w:ascii="宋体" w:hAnsi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000000"/>
          <w:sz w:val="24"/>
          <w:szCs w:val="24"/>
          <w:lang w:val="en-US" w:eastAsia="zh-CN"/>
        </w:rPr>
        <w:t>Step4：能力精准培养</w:t>
      </w:r>
    </w:p>
    <w:p>
      <w:pPr>
        <w:pStyle w:val="36"/>
        <w:numPr>
          <w:numId w:val="0"/>
        </w:numPr>
        <w:spacing w:line="360" w:lineRule="auto"/>
        <w:ind w:left="880" w:leftChars="0"/>
        <w:jc w:val="left"/>
        <w:rPr>
          <w:rFonts w:hint="eastAsia" w:ascii="宋体" w:hAnsi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根据“经理”“总监”的能力需要，采用课堂学习、在岗锻炼、兼职轮岗等多种形式相结合的培养方式</w:t>
      </w:r>
    </w:p>
    <w:p>
      <w:pPr>
        <w:pStyle w:val="36"/>
        <w:numPr>
          <w:numId w:val="0"/>
        </w:numPr>
        <w:spacing w:line="360" w:lineRule="auto"/>
        <w:ind w:left="880" w:leftChars="0"/>
        <w:jc w:val="left"/>
        <w:rPr>
          <w:rFonts w:hint="eastAsia" w:ascii="宋体" w:hAnsi="宋体"/>
          <w:color w:val="000000"/>
          <w:sz w:val="24"/>
          <w:szCs w:val="24"/>
          <w:lang w:val="en-US" w:eastAsia="zh-CN"/>
        </w:rPr>
      </w:pPr>
    </w:p>
    <w:p>
      <w:pPr>
        <w:pStyle w:val="36"/>
        <w:numPr>
          <w:numId w:val="0"/>
        </w:numPr>
        <w:spacing w:line="360" w:lineRule="auto"/>
        <w:ind w:left="880" w:leftChars="0"/>
        <w:jc w:val="left"/>
        <w:rPr>
          <w:rFonts w:hint="eastAsia" w:ascii="宋体" w:hAnsi="宋体"/>
          <w:color w:val="000000"/>
          <w:sz w:val="24"/>
          <w:szCs w:val="24"/>
          <w:lang w:val="en-US" w:eastAsia="zh-CN"/>
        </w:rPr>
      </w:pPr>
    </w:p>
    <w:p>
      <w:pPr>
        <w:numPr>
          <w:ilvl w:val="0"/>
          <w:numId w:val="2"/>
        </w:num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校招时间表</w:t>
      </w:r>
    </w:p>
    <w:p>
      <w:pPr>
        <w:numPr>
          <w:numId w:val="0"/>
        </w:numPr>
        <w:spacing w:line="360" w:lineRule="auto"/>
        <w:rPr>
          <w:rFonts w:hint="eastAsia" w:ascii="宋体" w:hAnsi="宋体" w:eastAsia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color w:val="FF0000"/>
          <w:sz w:val="28"/>
          <w:szCs w:val="28"/>
          <w:lang w:val="en-US" w:eastAsia="zh-CN"/>
        </w:rPr>
        <w:t>10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场大型宣讲，</w:t>
      </w:r>
      <w:r>
        <w:rPr>
          <w:rFonts w:hint="eastAsia" w:ascii="宋体" w:hAnsi="宋体"/>
          <w:b/>
          <w:color w:val="FF0000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场小众精英会，期待你的参与！</w:t>
      </w:r>
    </w:p>
    <w:tbl>
      <w:tblPr>
        <w:tblStyle w:val="27"/>
        <w:tblpPr w:leftFromText="180" w:rightFromText="180" w:vertAnchor="text" w:horzAnchor="page" w:tblpX="1377" w:tblpY="597"/>
        <w:tblOverlap w:val="never"/>
        <w:tblW w:w="92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39"/>
        <w:gridCol w:w="1080"/>
        <w:gridCol w:w="2010"/>
        <w:gridCol w:w="2481"/>
        <w:gridCol w:w="24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DB4E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DB4E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DB4E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DB4E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宣讲日期及时间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DB4E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简历投递截止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12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西南区域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10月12日下午19:00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10月12日下午23:00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西南交通大学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10月20日下午19:00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10月20日下午23:00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昆明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云南大学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10月19日下午14:30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10月19日下午23:00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重庆大学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10月27日下午19:00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10月27日下午23:00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西安交通大学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10月31日上午10:00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10月31日下午13:00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</w:t>
            </w:r>
          </w:p>
        </w:tc>
        <w:tc>
          <w:tcPr>
            <w:tcW w:w="44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时间地点另行通知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精英会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12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北京区域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天津大学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10月18日下午15:30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10月18日下午23:00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太原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太原理工大学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10月23日下午14:00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10月23日下午23:00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</w:t>
            </w:r>
          </w:p>
        </w:tc>
        <w:tc>
          <w:tcPr>
            <w:tcW w:w="44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10月16日 地点另行通知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精英会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华中区域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武汉大学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10月24日下午19:00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10月24日下午23:00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12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华东区域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东南大学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10月25日下午18:30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10月25日下午23:00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</w:t>
            </w:r>
          </w:p>
        </w:tc>
        <w:tc>
          <w:tcPr>
            <w:tcW w:w="44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10月19日 地点另行通知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精英会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华南区域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华南理工大学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10月18日下午19:00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10月18日下午23:00</w:t>
            </w:r>
          </w:p>
        </w:tc>
      </w:tr>
    </w:tbl>
    <w:p>
      <w:pPr>
        <w:ind w:hanging="566"/>
        <w:rPr>
          <w:rFonts w:hint="eastAsia" w:ascii="宋体" w:hAnsi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      </w:t>
      </w:r>
    </w:p>
    <w:p>
      <w:pPr>
        <w:spacing w:line="360" w:lineRule="auto"/>
        <w:rPr>
          <w:rFonts w:hint="eastAsia"/>
          <w:b/>
          <w:bCs/>
          <w:sz w:val="28"/>
          <w:szCs w:val="28"/>
          <w:lang w:eastAsia="zh-CN"/>
        </w:rPr>
      </w:pPr>
    </w:p>
    <w:p>
      <w:pPr>
        <w:spacing w:line="360" w:lineRule="auto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六、薪酬福利</w:t>
      </w:r>
    </w:p>
    <w:p>
      <w:pPr>
        <w:widowControl/>
        <w:shd w:val="clear" w:color="auto" w:fill="FFFFFF"/>
        <w:spacing w:before="75" w:after="75" w:line="270" w:lineRule="atLeast"/>
        <w:textAlignment w:val="baseline"/>
        <w:rPr>
          <w:rFonts w:ascii="宋体" w:hAnsi="宋体"/>
          <w:color w:val="000000" w:themeColor="text1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 w:val="24"/>
          <w:szCs w:val="24"/>
          <w:lang w:val="en-US" w:eastAsia="zh-CN" w:bidi="ar-SA"/>
        </w:rPr>
        <w:t>本</w:t>
      </w:r>
      <w:r>
        <w:rPr>
          <w:rFonts w:hint="eastAsia" w:ascii="宋体" w:hAnsi="宋体"/>
          <w:color w:val="000000" w:themeColor="text1"/>
          <w:sz w:val="24"/>
          <w:szCs w:val="24"/>
          <w:lang w:val="en-US" w:eastAsia="zh-CN"/>
        </w:rPr>
        <w:t>科学历月薪7000元，研究生学历月薪10000元，博士学历月薪13000元，</w:t>
      </w:r>
      <w:r>
        <w:rPr>
          <w:rFonts w:ascii="宋体" w:hAnsi="宋体"/>
          <w:color w:val="000000" w:themeColor="text1"/>
          <w:sz w:val="24"/>
          <w:szCs w:val="24"/>
          <w:lang w:val="en-US" w:eastAsia="zh-CN"/>
        </w:rPr>
        <w:t>五</w:t>
      </w:r>
    </w:p>
    <w:p>
      <w:pPr>
        <w:widowControl/>
        <w:shd w:val="clear" w:color="auto" w:fill="FFFFFF"/>
        <w:spacing w:before="75" w:after="75" w:line="270" w:lineRule="atLeast"/>
        <w:textAlignment w:val="baseline"/>
        <w:rPr>
          <w:rFonts w:ascii="宋体" w:hAnsi="宋体"/>
          <w:color w:val="000000" w:themeColor="text1"/>
          <w:sz w:val="24"/>
          <w:szCs w:val="24"/>
          <w:lang w:val="en-US" w:eastAsia="zh-CN"/>
        </w:rPr>
      </w:pPr>
      <w:r>
        <w:rPr>
          <w:rFonts w:ascii="宋体" w:hAnsi="宋体"/>
          <w:color w:val="000000" w:themeColor="text1"/>
          <w:sz w:val="24"/>
          <w:szCs w:val="24"/>
          <w:lang w:val="en-US" w:eastAsia="zh-CN"/>
        </w:rPr>
        <w:t>险一金，车补餐补，节日礼金，入职安家费，导师1对1帮扶，精品培训课程……</w:t>
      </w:r>
    </w:p>
    <w:p>
      <w:pPr>
        <w:widowControl/>
        <w:shd w:val="clear" w:color="auto" w:fill="FFFFFF"/>
        <w:spacing w:before="75" w:after="75" w:line="270" w:lineRule="atLeast"/>
        <w:textAlignment w:val="baseline"/>
        <w:rPr>
          <w:rFonts w:hint="eastAsia" w:ascii="宋体" w:hAnsi="宋体" w:cs="Times New Roman"/>
          <w:b/>
          <w:bCs/>
          <w:color w:val="000000"/>
          <w:sz w:val="24"/>
          <w:szCs w:val="24"/>
          <w:lang w:val="en-US" w:eastAsia="zh-CN" w:bidi="ar-SA"/>
        </w:rPr>
      </w:pPr>
    </w:p>
    <w:p>
      <w:pPr>
        <w:widowControl/>
        <w:shd w:val="clear" w:color="auto" w:fill="FFFFFF"/>
        <w:spacing w:before="75" w:after="75" w:line="270" w:lineRule="atLeast"/>
        <w:textAlignment w:val="baseline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七、校</w:t>
      </w:r>
      <w:r>
        <w:rPr>
          <w:rFonts w:hint="eastAsia"/>
          <w:b/>
          <w:bCs/>
          <w:sz w:val="28"/>
          <w:szCs w:val="28"/>
          <w:lang w:val="en-US" w:eastAsia="zh-CN"/>
        </w:rPr>
        <w:t>招流程</w:t>
      </w:r>
    </w:p>
    <w:p>
      <w:pPr>
        <w:widowControl/>
        <w:shd w:val="clear" w:color="auto" w:fill="FFFFFF"/>
        <w:spacing w:before="75" w:after="75" w:line="270" w:lineRule="atLeast"/>
        <w:textAlignment w:val="baseline"/>
        <w:rPr>
          <w:rFonts w:hint="eastAsia" w:ascii="宋体" w:hAnsi="宋体" w:cs="Times New Roman"/>
          <w:b w:val="0"/>
          <w:bCs w:val="0"/>
          <w:color w:val="000000"/>
          <w:sz w:val="24"/>
          <w:szCs w:val="24"/>
          <w:lang w:val="en-US" w:eastAsia="zh-CN" w:bidi="ar-SA"/>
        </w:rPr>
      </w:pPr>
      <w:r>
        <w:rPr>
          <w:rFonts w:hint="eastAsia" w:ascii="宋体" w:hAnsi="宋体" w:cs="Times New Roman"/>
          <w:b w:val="0"/>
          <w:bCs w:val="0"/>
          <w:color w:val="000000"/>
          <w:sz w:val="24"/>
          <w:szCs w:val="24"/>
          <w:lang w:val="en-US" w:eastAsia="zh-CN" w:bidi="ar-SA"/>
        </w:rPr>
        <w:t>投递简历</w:t>
      </w:r>
      <w:r>
        <w:rPr>
          <w:rFonts w:hint="default" w:ascii="Arial" w:hAnsi="Arial" w:cs="Arial"/>
          <w:b w:val="0"/>
          <w:bCs w:val="0"/>
          <w:color w:val="000000"/>
          <w:sz w:val="24"/>
          <w:szCs w:val="24"/>
          <w:lang w:val="en-US" w:eastAsia="zh-CN" w:bidi="ar-SA"/>
        </w:rPr>
        <w:t>→</w:t>
      </w:r>
      <w:r>
        <w:rPr>
          <w:rFonts w:hint="eastAsia" w:ascii="宋体" w:hAnsi="宋体" w:cs="Times New Roman"/>
          <w:b w:val="0"/>
          <w:bCs w:val="0"/>
          <w:color w:val="000000"/>
          <w:sz w:val="24"/>
          <w:szCs w:val="24"/>
          <w:lang w:val="en-US" w:eastAsia="zh-CN" w:bidi="ar-SA"/>
        </w:rPr>
        <w:t>简历筛选</w:t>
      </w:r>
      <w:r>
        <w:rPr>
          <w:rFonts w:hint="default" w:ascii="Arial" w:hAnsi="Arial" w:cs="Arial"/>
          <w:b w:val="0"/>
          <w:bCs w:val="0"/>
          <w:color w:val="000000"/>
          <w:sz w:val="24"/>
          <w:szCs w:val="24"/>
          <w:lang w:val="en-US" w:eastAsia="zh-CN" w:bidi="ar-SA"/>
        </w:rPr>
        <w:t>→</w:t>
      </w:r>
      <w:r>
        <w:rPr>
          <w:rFonts w:hint="eastAsia" w:ascii="宋体" w:hAnsi="宋体" w:cs="Times New Roman"/>
          <w:b w:val="0"/>
          <w:bCs w:val="0"/>
          <w:color w:val="000000"/>
          <w:sz w:val="24"/>
          <w:szCs w:val="24"/>
          <w:lang w:val="en-US" w:eastAsia="zh-CN" w:bidi="ar-SA"/>
        </w:rPr>
        <w:t>初试</w:t>
      </w:r>
      <w:r>
        <w:rPr>
          <w:rFonts w:hint="default" w:ascii="Arial" w:hAnsi="Arial" w:cs="Arial"/>
          <w:b w:val="0"/>
          <w:bCs w:val="0"/>
          <w:color w:val="000000"/>
          <w:sz w:val="24"/>
          <w:szCs w:val="24"/>
          <w:lang w:val="en-US" w:eastAsia="zh-CN" w:bidi="ar-SA"/>
        </w:rPr>
        <w:t>→</w:t>
      </w:r>
      <w:r>
        <w:rPr>
          <w:rFonts w:hint="eastAsia" w:ascii="宋体" w:hAnsi="宋体" w:cs="Times New Roman"/>
          <w:b w:val="0"/>
          <w:bCs w:val="0"/>
          <w:color w:val="000000"/>
          <w:sz w:val="24"/>
          <w:szCs w:val="24"/>
          <w:lang w:val="en-US" w:eastAsia="zh-CN" w:bidi="ar-SA"/>
        </w:rPr>
        <w:t>复试</w:t>
      </w:r>
      <w:r>
        <w:rPr>
          <w:rFonts w:hint="default" w:ascii="Arial" w:hAnsi="Arial" w:cs="Arial"/>
          <w:b w:val="0"/>
          <w:bCs w:val="0"/>
          <w:color w:val="000000"/>
          <w:sz w:val="24"/>
          <w:szCs w:val="24"/>
          <w:lang w:val="en-US" w:eastAsia="zh-CN" w:bidi="ar-SA"/>
        </w:rPr>
        <w:t>→</w:t>
      </w:r>
      <w:r>
        <w:rPr>
          <w:rFonts w:hint="eastAsia" w:ascii="宋体" w:hAnsi="宋体" w:cs="Times New Roman"/>
          <w:b w:val="0"/>
          <w:bCs w:val="0"/>
          <w:color w:val="000000"/>
          <w:sz w:val="24"/>
          <w:szCs w:val="24"/>
          <w:lang w:val="en-US" w:eastAsia="zh-CN" w:bidi="ar-SA"/>
        </w:rPr>
        <w:t>高管见面</w:t>
      </w:r>
      <w:r>
        <w:rPr>
          <w:rFonts w:hint="default" w:ascii="Arial" w:hAnsi="Arial" w:cs="Arial"/>
          <w:b w:val="0"/>
          <w:bCs w:val="0"/>
          <w:color w:val="000000"/>
          <w:sz w:val="24"/>
          <w:szCs w:val="24"/>
          <w:lang w:val="en-US" w:eastAsia="zh-CN" w:bidi="ar-SA"/>
        </w:rPr>
        <w:t>→</w:t>
      </w:r>
      <w:r>
        <w:rPr>
          <w:rFonts w:hint="eastAsia" w:ascii="宋体" w:hAnsi="宋体" w:cs="Times New Roman"/>
          <w:b w:val="0"/>
          <w:bCs w:val="0"/>
          <w:color w:val="000000"/>
          <w:sz w:val="24"/>
          <w:szCs w:val="24"/>
          <w:lang w:val="en-US" w:eastAsia="zh-CN" w:bidi="ar-SA"/>
        </w:rPr>
        <w:t>确定意向</w:t>
      </w:r>
      <w:r>
        <w:rPr>
          <w:rFonts w:hint="default" w:ascii="Arial" w:hAnsi="Arial" w:cs="Arial"/>
          <w:b w:val="0"/>
          <w:bCs w:val="0"/>
          <w:color w:val="000000"/>
          <w:sz w:val="24"/>
          <w:szCs w:val="24"/>
          <w:lang w:val="en-US" w:eastAsia="zh-CN" w:bidi="ar-SA"/>
        </w:rPr>
        <w:t>→</w:t>
      </w:r>
      <w:r>
        <w:rPr>
          <w:rFonts w:hint="eastAsia" w:ascii="宋体" w:hAnsi="宋体" w:cs="Times New Roman"/>
          <w:b w:val="0"/>
          <w:bCs w:val="0"/>
          <w:color w:val="000000"/>
          <w:sz w:val="24"/>
          <w:szCs w:val="24"/>
          <w:lang w:val="en-US" w:eastAsia="zh-CN" w:bidi="ar-SA"/>
        </w:rPr>
        <w:t>Offer发放</w:t>
      </w:r>
      <w:r>
        <w:rPr>
          <w:rFonts w:hint="default" w:ascii="Arial" w:hAnsi="Arial" w:cs="Arial"/>
          <w:b w:val="0"/>
          <w:bCs w:val="0"/>
          <w:color w:val="000000"/>
          <w:sz w:val="24"/>
          <w:szCs w:val="24"/>
          <w:lang w:val="en-US" w:eastAsia="zh-CN" w:bidi="ar-SA"/>
        </w:rPr>
        <w:t>→</w:t>
      </w:r>
      <w:r>
        <w:rPr>
          <w:rFonts w:hint="eastAsia" w:ascii="宋体" w:hAnsi="宋体" w:cs="Times New Roman"/>
          <w:b w:val="0"/>
          <w:bCs w:val="0"/>
          <w:color w:val="000000"/>
          <w:sz w:val="24"/>
          <w:szCs w:val="24"/>
          <w:lang w:val="en-US" w:eastAsia="zh-CN" w:bidi="ar-SA"/>
        </w:rPr>
        <w:t>签订</w:t>
      </w:r>
    </w:p>
    <w:p>
      <w:pPr>
        <w:widowControl/>
        <w:shd w:val="clear" w:color="auto" w:fill="FFFFFF"/>
        <w:spacing w:before="75" w:after="75" w:line="270" w:lineRule="atLeast"/>
        <w:textAlignment w:val="baseline"/>
        <w:rPr>
          <w:rFonts w:hint="eastAsia" w:ascii="宋体" w:hAnsi="宋体" w:cs="Times New Roman"/>
          <w:b w:val="0"/>
          <w:bCs w:val="0"/>
          <w:color w:val="000000"/>
          <w:sz w:val="24"/>
          <w:szCs w:val="24"/>
          <w:lang w:val="en-US" w:eastAsia="zh-CN" w:bidi="ar-SA"/>
        </w:rPr>
      </w:pPr>
      <w:bookmarkStart w:id="0" w:name="_GoBack"/>
      <w:bookmarkEnd w:id="0"/>
      <w:r>
        <w:rPr>
          <w:rFonts w:hint="eastAsia" w:ascii="宋体" w:hAnsi="宋体" w:cs="Times New Roman"/>
          <w:b w:val="0"/>
          <w:bCs w:val="0"/>
          <w:color w:val="000000"/>
          <w:sz w:val="24"/>
          <w:szCs w:val="24"/>
          <w:lang w:val="en-US" w:eastAsia="zh-CN" w:bidi="ar-SA"/>
        </w:rPr>
        <w:t>三方协议</w:t>
      </w:r>
    </w:p>
    <w:p>
      <w:pPr>
        <w:widowControl/>
        <w:shd w:val="clear" w:color="auto" w:fill="FFFFFF"/>
        <w:spacing w:before="75" w:after="75" w:line="270" w:lineRule="atLeast"/>
        <w:textAlignment w:val="baseline"/>
        <w:rPr>
          <w:rFonts w:hint="eastAsia" w:ascii="宋体" w:hAnsi="宋体" w:cs="Times New Roman"/>
          <w:color w:val="000000"/>
          <w:sz w:val="24"/>
          <w:szCs w:val="24"/>
          <w:lang w:val="en-US" w:eastAsia="zh-CN" w:bidi="ar-SA"/>
        </w:rPr>
      </w:pPr>
    </w:p>
    <w:p>
      <w:pPr>
        <w:widowControl/>
        <w:shd w:val="clear" w:color="auto" w:fill="FFFFFF"/>
        <w:spacing w:before="75" w:after="75" w:line="270" w:lineRule="atLeast"/>
        <w:textAlignment w:val="baseline"/>
        <w:rPr>
          <w:rFonts w:hint="eastAsia" w:ascii="宋体" w:hAnsi="宋体" w:cs="Times New Roman"/>
          <w:color w:val="000000"/>
          <w:sz w:val="24"/>
          <w:szCs w:val="24"/>
          <w:lang w:val="en-US" w:eastAsia="zh-CN" w:bidi="ar-SA"/>
        </w:rPr>
      </w:pPr>
    </w:p>
    <w:p>
      <w:pPr>
        <w:spacing w:line="360" w:lineRule="auto"/>
        <w:rPr>
          <w:rFonts w:hint="eastAsia" w:ascii="宋体" w:hAnsi="宋体" w:eastAsia="宋体"/>
          <w:sz w:val="28"/>
          <w:szCs w:val="28"/>
          <w:lang w:eastAsia="zh-CN"/>
        </w:rPr>
      </w:pPr>
    </w:p>
    <w:p>
      <w:pPr>
        <w:jc w:val="left"/>
        <w:rPr>
          <w:rFonts w:hint="eastAsia" w:ascii="微软雅黑" w:hAnsi="微软雅黑" w:eastAsia="微软雅黑"/>
          <w:b/>
          <w:color w:val="000000"/>
        </w:rPr>
      </w:pPr>
      <w:r>
        <w:rPr>
          <w:rFonts w:hint="eastAsia" w:ascii="微软雅黑" w:hAnsi="微软雅黑" w:eastAsia="微软雅黑"/>
          <w:b/>
          <w:color w:val="000000"/>
        </w:rPr>
        <w:t>详情请登录</w:t>
      </w:r>
      <w:r>
        <w:rPr>
          <w:rFonts w:hint="eastAsia" w:ascii="微软雅黑" w:hAnsi="微软雅黑" w:eastAsia="微软雅黑"/>
          <w:b/>
          <w:color w:val="000000"/>
          <w:u w:val="single"/>
        </w:rPr>
        <w:t>guangmang.shixiseng.com</w:t>
      </w:r>
      <w:r>
        <w:rPr>
          <w:rFonts w:hint="eastAsia" w:ascii="微软雅黑" w:hAnsi="微软雅黑" w:eastAsia="微软雅黑"/>
          <w:b/>
          <w:color w:val="000000"/>
        </w:rPr>
        <w:t>获知更多“光芒生”计划校园招聘相关信息！</w:t>
      </w:r>
    </w:p>
    <w:p>
      <w:pPr>
        <w:jc w:val="left"/>
        <w:rPr>
          <w:rFonts w:hint="eastAsia" w:ascii="微软雅黑" w:hAnsi="微软雅黑" w:eastAsia="微软雅黑"/>
          <w:b/>
          <w:color w:val="000000"/>
          <w:lang w:eastAsia="zh-CN"/>
        </w:rPr>
      </w:pPr>
      <w:r>
        <w:rPr>
          <w:rFonts w:hint="eastAsia" w:ascii="微软雅黑" w:hAnsi="微软雅黑" w:eastAsia="微软雅黑"/>
          <w:b/>
          <w:color w:val="000000"/>
          <w:lang w:eastAsia="zh-CN"/>
        </w:rPr>
        <w:t>宣讲会现场接受现场投递简历！</w:t>
      </w:r>
    </w:p>
    <w:p>
      <w:pPr>
        <w:jc w:val="left"/>
        <w:rPr>
          <w:rFonts w:ascii="微软雅黑" w:hAnsi="微软雅黑" w:eastAsia="微软雅黑"/>
          <w:b/>
          <w:color w:val="000000"/>
          <w:u w:val="single"/>
        </w:rPr>
      </w:pPr>
    </w:p>
    <w:p>
      <w:pPr>
        <w:jc w:val="right"/>
        <w:rPr>
          <w:rFonts w:ascii="微软雅黑" w:hAnsi="微软雅黑" w:eastAsia="微软雅黑"/>
          <w:b/>
        </w:rPr>
      </w:pPr>
      <w:r>
        <w:rPr>
          <w:rFonts w:hint="eastAsia" w:ascii="微软雅黑" w:hAnsi="微软雅黑" w:eastAsia="微软雅黑"/>
          <w:b/>
        </w:rPr>
        <w:t>蓝光发展</w:t>
      </w:r>
      <w:r>
        <w:rPr>
          <w:rFonts w:ascii="微软雅黑" w:hAnsi="微软雅黑" w:eastAsia="微软雅黑"/>
          <w:b/>
        </w:rPr>
        <w:t>集团</w:t>
      </w:r>
    </w:p>
    <w:p>
      <w:pPr>
        <w:jc w:val="right"/>
        <w:rPr>
          <w:rFonts w:ascii="微软雅黑" w:hAnsi="微软雅黑" w:eastAsia="微软雅黑"/>
          <w:b/>
        </w:rPr>
      </w:pPr>
      <w:r>
        <w:rPr>
          <w:rFonts w:hint="eastAsia" w:ascii="微软雅黑" w:hAnsi="微软雅黑" w:eastAsia="微软雅黑"/>
          <w:b/>
        </w:rPr>
        <w:t>网址：</w:t>
      </w:r>
      <w:r>
        <w:fldChar w:fldCharType="begin"/>
      </w:r>
      <w:r>
        <w:instrText xml:space="preserve"> HYPERLINK "http://www.brc.com.cn" </w:instrText>
      </w:r>
      <w:r>
        <w:fldChar w:fldCharType="separate"/>
      </w:r>
      <w:r>
        <w:rPr>
          <w:rStyle w:val="26"/>
          <w:rFonts w:hint="eastAsia" w:ascii="微软雅黑" w:hAnsi="微软雅黑" w:eastAsia="微软雅黑"/>
          <w:b/>
        </w:rPr>
        <w:t>www.brc.com.cn</w:t>
      </w:r>
      <w:r>
        <w:rPr>
          <w:rStyle w:val="26"/>
          <w:rFonts w:hint="eastAsia" w:ascii="微软雅黑" w:hAnsi="微软雅黑" w:eastAsia="微软雅黑"/>
          <w:b/>
        </w:rPr>
        <w:fldChar w:fldCharType="end"/>
      </w:r>
    </w:p>
    <w:p>
      <w:pPr>
        <w:jc w:val="right"/>
        <w:rPr>
          <w:rFonts w:ascii="微软雅黑" w:hAnsi="微软雅黑" w:eastAsia="微软雅黑"/>
          <w:b/>
          <w:color w:val="000000" w:themeColor="text1"/>
        </w:rPr>
      </w:pPr>
      <w:r>
        <w:rPr>
          <w:rFonts w:hint="eastAsia" w:ascii="微软雅黑" w:hAnsi="微软雅黑" w:eastAsia="微软雅黑"/>
          <w:b/>
          <w:color w:val="FF0000"/>
        </w:rPr>
        <w:t>网申地址：</w:t>
      </w:r>
      <w:r>
        <w:rPr>
          <w:rFonts w:hint="eastAsia" w:ascii="微软雅黑" w:hAnsi="微软雅黑" w:eastAsia="微软雅黑"/>
          <w:b/>
          <w:color w:val="FF0000"/>
          <w:u w:val="single"/>
        </w:rPr>
        <w:t>guangmang.shixis</w:t>
      </w:r>
      <w:r>
        <w:rPr>
          <w:rFonts w:ascii="微软雅黑" w:hAnsi="微软雅黑" w:eastAsia="微软雅黑"/>
          <w:b/>
          <w:color w:val="FF0000"/>
          <w:u w:val="single"/>
        </w:rPr>
        <w:t>eng</w:t>
      </w:r>
      <w:r>
        <w:rPr>
          <w:rFonts w:hint="eastAsia" w:ascii="微软雅黑" w:hAnsi="微软雅黑" w:eastAsia="微软雅黑"/>
          <w:b/>
          <w:color w:val="FF0000"/>
          <w:u w:val="single"/>
        </w:rPr>
        <w:t>.com</w:t>
      </w:r>
    </w:p>
    <w:p>
      <w:pPr>
        <w:spacing w:line="360" w:lineRule="auto"/>
        <w:rPr>
          <w:rFonts w:ascii="宋体" w:hAnsi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Sans Serif"/>
    <w:panose1 w:val="00000000000000000000"/>
    <w:charset w:val="00"/>
    <w:family w:val="auto"/>
    <w:pitch w:val="default"/>
    <w:sig w:usb0="00000000" w:usb1="00000000" w:usb2="00000000" w:usb3="00000000" w:csb0="FFFFFFF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 Light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8AC5A"/>
    <w:multiLevelType w:val="singleLevel"/>
    <w:tmpl w:val="59C8AC5A"/>
    <w:lvl w:ilvl="0" w:tentative="0">
      <w:start w:val="1"/>
      <w:numFmt w:val="bullet"/>
      <w:lvlText w:val="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59C8B998"/>
    <w:multiLevelType w:val="singleLevel"/>
    <w:tmpl w:val="59C8B998"/>
    <w:lvl w:ilvl="0" w:tentative="0">
      <w:start w:val="5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4914DC"/>
    <w:rsid w:val="000D1A11"/>
    <w:rsid w:val="002433F5"/>
    <w:rsid w:val="003D6412"/>
    <w:rsid w:val="004914DC"/>
    <w:rsid w:val="004B77FD"/>
    <w:rsid w:val="005D0BCE"/>
    <w:rsid w:val="00844E55"/>
    <w:rsid w:val="008E5A47"/>
    <w:rsid w:val="00B77346"/>
    <w:rsid w:val="00CD2C80"/>
    <w:rsid w:val="241F17B4"/>
    <w:rsid w:val="5C3B604B"/>
    <w:rsid w:val="763B3817"/>
    <w:rsid w:val="767E62FE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7" w:semiHidden="0" w:name="heading 1"/>
    <w:lsdException w:qFormat="1" w:unhideWhenUsed="0" w:uiPriority="8" w:semiHidden="0" w:name="heading 2"/>
    <w:lsdException w:qFormat="1" w:unhideWhenUsed="0" w:uiPriority="9" w:semiHidden="0" w:name="heading 3"/>
    <w:lsdException w:qFormat="1" w:unhideWhenUsed="0" w:uiPriority="10" w:semiHidden="0" w:name="heading 4"/>
    <w:lsdException w:qFormat="1" w:unhideWhenUsed="0" w:uiPriority="11" w:semiHidden="0" w:name="heading 5"/>
    <w:lsdException w:qFormat="1" w:unhideWhenUsed="0" w:uiPriority="12" w:semiHidden="0" w:name="heading 6"/>
    <w:lsdException w:qFormat="1" w:unhideWhenUsed="0" w:uiPriority="13" w:semiHidden="0" w:name="heading 7"/>
    <w:lsdException w:qFormat="1" w:unhideWhenUsed="0" w:uiPriority="14" w:semiHidden="0" w:name="heading 8"/>
    <w:lsdException w:qFormat="1" w:unhideWhenUsed="0" w:uiPriority="15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28" w:semiHidden="0" w:name="toc 1"/>
    <w:lsdException w:qFormat="1" w:uiPriority="29" w:semiHidden="0" w:name="toc 2"/>
    <w:lsdException w:qFormat="1" w:uiPriority="30" w:semiHidden="0" w:name="toc 3"/>
    <w:lsdException w:qFormat="1" w:uiPriority="31" w:semiHidden="0" w:name="toc 4"/>
    <w:lsdException w:qFormat="1" w:uiPriority="32" w:semiHidden="0" w:name="toc 5"/>
    <w:lsdException w:qFormat="1" w:uiPriority="33" w:semiHidden="0" w:name="toc 6"/>
    <w:lsdException w:qFormat="1" w:uiPriority="34" w:semiHidden="0" w:name="toc 7"/>
    <w:lsdException w:qFormat="1" w:uiPriority="35" w:semiHidden="0" w:name="toc 8"/>
    <w:lsdException w:qFormat="1" w:uiPriority="36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6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6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0" w:semiHidden="0" w:name="Strong"/>
    <w:lsdException w:qFormat="1" w:unhideWhenUsed="0" w:uiPriority="18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jc w:val="both"/>
    </w:pPr>
    <w:rPr>
      <w:rFonts w:ascii="等线" w:hAnsi="等线" w:eastAsia="宋体" w:cs="Times New Roman"/>
      <w:sz w:val="21"/>
      <w:szCs w:val="21"/>
      <w:lang w:val="en-US" w:eastAsia="zh-CN" w:bidi="ar-SA"/>
    </w:rPr>
  </w:style>
  <w:style w:type="paragraph" w:styleId="2">
    <w:name w:val="heading 1"/>
    <w:next w:val="1"/>
    <w:qFormat/>
    <w:uiPriority w:val="7"/>
    <w:pPr>
      <w:jc w:val="both"/>
      <w:outlineLvl w:val="0"/>
    </w:pPr>
    <w:rPr>
      <w:rFonts w:ascii="等线" w:hAnsi="等线" w:eastAsia="宋体" w:cs="Times New Roman"/>
      <w:sz w:val="28"/>
      <w:szCs w:val="28"/>
      <w:lang w:val="en-US" w:eastAsia="zh-CN" w:bidi="ar-SA"/>
    </w:rPr>
  </w:style>
  <w:style w:type="paragraph" w:styleId="3">
    <w:name w:val="heading 2"/>
    <w:next w:val="1"/>
    <w:qFormat/>
    <w:uiPriority w:val="8"/>
    <w:pPr>
      <w:jc w:val="both"/>
      <w:outlineLvl w:val="1"/>
    </w:pPr>
    <w:rPr>
      <w:rFonts w:ascii="等线" w:hAnsi="等线" w:eastAsia="宋体" w:cs="Times New Roman"/>
      <w:sz w:val="21"/>
      <w:szCs w:val="21"/>
      <w:lang w:val="en-US" w:eastAsia="zh-CN" w:bidi="ar-SA"/>
    </w:rPr>
  </w:style>
  <w:style w:type="paragraph" w:styleId="4">
    <w:name w:val="heading 3"/>
    <w:next w:val="1"/>
    <w:qFormat/>
    <w:uiPriority w:val="9"/>
    <w:pPr>
      <w:ind w:left="1000" w:hanging="400"/>
      <w:jc w:val="both"/>
      <w:outlineLvl w:val="2"/>
    </w:pPr>
    <w:rPr>
      <w:rFonts w:ascii="等线" w:hAnsi="等线" w:eastAsia="宋体" w:cs="Times New Roman"/>
      <w:sz w:val="21"/>
      <w:szCs w:val="21"/>
      <w:lang w:val="en-US" w:eastAsia="zh-CN" w:bidi="ar-SA"/>
    </w:rPr>
  </w:style>
  <w:style w:type="paragraph" w:styleId="5">
    <w:name w:val="heading 4"/>
    <w:next w:val="1"/>
    <w:qFormat/>
    <w:uiPriority w:val="10"/>
    <w:pPr>
      <w:ind w:left="1200" w:hanging="400"/>
      <w:jc w:val="both"/>
      <w:outlineLvl w:val="3"/>
    </w:pPr>
    <w:rPr>
      <w:rFonts w:ascii="等线" w:hAnsi="等线" w:eastAsia="宋体" w:cs="Times New Roman"/>
      <w:b/>
      <w:sz w:val="21"/>
      <w:szCs w:val="21"/>
      <w:lang w:val="en-US" w:eastAsia="zh-CN" w:bidi="ar-SA"/>
    </w:rPr>
  </w:style>
  <w:style w:type="paragraph" w:styleId="6">
    <w:name w:val="heading 5"/>
    <w:next w:val="1"/>
    <w:qFormat/>
    <w:uiPriority w:val="11"/>
    <w:pPr>
      <w:ind w:left="1400" w:hanging="400"/>
      <w:jc w:val="both"/>
      <w:outlineLvl w:val="4"/>
    </w:pPr>
    <w:rPr>
      <w:rFonts w:ascii="等线" w:hAnsi="等线" w:eastAsia="宋体" w:cs="Times New Roman"/>
      <w:sz w:val="21"/>
      <w:szCs w:val="21"/>
      <w:lang w:val="en-US" w:eastAsia="zh-CN" w:bidi="ar-SA"/>
    </w:rPr>
  </w:style>
  <w:style w:type="paragraph" w:styleId="7">
    <w:name w:val="heading 6"/>
    <w:next w:val="1"/>
    <w:qFormat/>
    <w:uiPriority w:val="12"/>
    <w:pPr>
      <w:ind w:left="1600" w:hanging="400"/>
      <w:jc w:val="both"/>
      <w:outlineLvl w:val="5"/>
    </w:pPr>
    <w:rPr>
      <w:rFonts w:ascii="等线" w:hAnsi="等线" w:eastAsia="宋体" w:cs="Times New Roman"/>
      <w:b/>
      <w:sz w:val="21"/>
      <w:szCs w:val="21"/>
      <w:lang w:val="en-US" w:eastAsia="zh-CN" w:bidi="ar-SA"/>
    </w:rPr>
  </w:style>
  <w:style w:type="paragraph" w:styleId="8">
    <w:name w:val="heading 7"/>
    <w:next w:val="1"/>
    <w:qFormat/>
    <w:uiPriority w:val="13"/>
    <w:pPr>
      <w:ind w:left="1800" w:hanging="400"/>
      <w:jc w:val="both"/>
      <w:outlineLvl w:val="6"/>
    </w:pPr>
    <w:rPr>
      <w:rFonts w:ascii="等线" w:hAnsi="等线" w:eastAsia="宋体" w:cs="Times New Roman"/>
      <w:sz w:val="21"/>
      <w:szCs w:val="21"/>
      <w:lang w:val="en-US" w:eastAsia="zh-CN" w:bidi="ar-SA"/>
    </w:rPr>
  </w:style>
  <w:style w:type="paragraph" w:styleId="9">
    <w:name w:val="heading 8"/>
    <w:next w:val="1"/>
    <w:qFormat/>
    <w:uiPriority w:val="14"/>
    <w:pPr>
      <w:ind w:left="2000" w:hanging="400"/>
      <w:jc w:val="both"/>
      <w:outlineLvl w:val="7"/>
    </w:pPr>
    <w:rPr>
      <w:rFonts w:ascii="等线" w:hAnsi="等线" w:eastAsia="宋体" w:cs="Times New Roman"/>
      <w:sz w:val="21"/>
      <w:szCs w:val="21"/>
      <w:lang w:val="en-US" w:eastAsia="zh-CN" w:bidi="ar-SA"/>
    </w:rPr>
  </w:style>
  <w:style w:type="paragraph" w:styleId="10">
    <w:name w:val="heading 9"/>
    <w:next w:val="1"/>
    <w:qFormat/>
    <w:uiPriority w:val="15"/>
    <w:pPr>
      <w:ind w:left="2200" w:hanging="400"/>
      <w:jc w:val="both"/>
      <w:outlineLvl w:val="8"/>
    </w:pPr>
    <w:rPr>
      <w:rFonts w:ascii="等线" w:hAnsi="等线" w:eastAsia="宋体" w:cs="Times New Roman"/>
      <w:sz w:val="21"/>
      <w:szCs w:val="21"/>
      <w:lang w:val="en-US" w:eastAsia="zh-CN" w:bidi="ar-SA"/>
    </w:rPr>
  </w:style>
  <w:style w:type="character" w:default="1" w:styleId="23">
    <w:name w:val="Default Paragraph Font"/>
    <w:unhideWhenUsed/>
    <w:uiPriority w:val="1"/>
  </w:style>
  <w:style w:type="table" w:default="1" w:styleId="2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next w:val="1"/>
    <w:unhideWhenUsed/>
    <w:qFormat/>
    <w:uiPriority w:val="34"/>
    <w:pPr>
      <w:ind w:left="2550"/>
      <w:jc w:val="both"/>
    </w:pPr>
    <w:rPr>
      <w:rFonts w:ascii="等线" w:hAnsi="等线" w:eastAsia="宋体" w:cs="Times New Roman"/>
      <w:sz w:val="21"/>
      <w:szCs w:val="21"/>
      <w:lang w:val="en-US" w:eastAsia="zh-CN" w:bidi="ar-SA"/>
    </w:rPr>
  </w:style>
  <w:style w:type="paragraph" w:styleId="12">
    <w:name w:val="toc 5"/>
    <w:next w:val="1"/>
    <w:unhideWhenUsed/>
    <w:qFormat/>
    <w:uiPriority w:val="32"/>
    <w:pPr>
      <w:ind w:left="1700"/>
      <w:jc w:val="both"/>
    </w:pPr>
    <w:rPr>
      <w:rFonts w:ascii="等线" w:hAnsi="等线" w:eastAsia="宋体" w:cs="Times New Roman"/>
      <w:sz w:val="21"/>
      <w:szCs w:val="21"/>
      <w:lang w:val="en-US" w:eastAsia="zh-CN" w:bidi="ar-SA"/>
    </w:rPr>
  </w:style>
  <w:style w:type="paragraph" w:styleId="13">
    <w:name w:val="toc 3"/>
    <w:next w:val="1"/>
    <w:unhideWhenUsed/>
    <w:qFormat/>
    <w:uiPriority w:val="30"/>
    <w:pPr>
      <w:ind w:left="850"/>
      <w:jc w:val="both"/>
    </w:pPr>
    <w:rPr>
      <w:rFonts w:ascii="等线" w:hAnsi="等线" w:eastAsia="宋体" w:cs="Times New Roman"/>
      <w:sz w:val="21"/>
      <w:szCs w:val="21"/>
      <w:lang w:val="en-US" w:eastAsia="zh-CN" w:bidi="ar-SA"/>
    </w:rPr>
  </w:style>
  <w:style w:type="paragraph" w:styleId="14">
    <w:name w:val="toc 8"/>
    <w:next w:val="1"/>
    <w:unhideWhenUsed/>
    <w:qFormat/>
    <w:uiPriority w:val="35"/>
    <w:pPr>
      <w:ind w:left="2975"/>
      <w:jc w:val="both"/>
    </w:pPr>
    <w:rPr>
      <w:rFonts w:ascii="等线" w:hAnsi="等线" w:eastAsia="宋体" w:cs="Times New Roman"/>
      <w:sz w:val="21"/>
      <w:szCs w:val="21"/>
      <w:lang w:val="en-US" w:eastAsia="zh-CN" w:bidi="ar-SA"/>
    </w:rPr>
  </w:style>
  <w:style w:type="paragraph" w:styleId="15">
    <w:name w:val="Balloon Text"/>
    <w:basedOn w:val="1"/>
    <w:link w:val="38"/>
    <w:unhideWhenUsed/>
    <w:qFormat/>
    <w:uiPriority w:val="99"/>
    <w:rPr>
      <w:sz w:val="18"/>
      <w:szCs w:val="18"/>
    </w:rPr>
  </w:style>
  <w:style w:type="paragraph" w:styleId="16">
    <w:name w:val="toc 1"/>
    <w:next w:val="1"/>
    <w:unhideWhenUsed/>
    <w:qFormat/>
    <w:uiPriority w:val="28"/>
    <w:pPr>
      <w:jc w:val="both"/>
    </w:pPr>
    <w:rPr>
      <w:rFonts w:ascii="等线" w:hAnsi="等线" w:eastAsia="宋体" w:cs="Times New Roman"/>
      <w:sz w:val="21"/>
      <w:szCs w:val="21"/>
      <w:lang w:val="en-US" w:eastAsia="zh-CN" w:bidi="ar-SA"/>
    </w:rPr>
  </w:style>
  <w:style w:type="paragraph" w:styleId="17">
    <w:name w:val="toc 4"/>
    <w:next w:val="1"/>
    <w:unhideWhenUsed/>
    <w:qFormat/>
    <w:uiPriority w:val="31"/>
    <w:pPr>
      <w:ind w:left="1275"/>
      <w:jc w:val="both"/>
    </w:pPr>
    <w:rPr>
      <w:rFonts w:ascii="等线" w:hAnsi="等线" w:eastAsia="宋体" w:cs="Times New Roman"/>
      <w:sz w:val="21"/>
      <w:szCs w:val="21"/>
      <w:lang w:val="en-US" w:eastAsia="zh-CN" w:bidi="ar-SA"/>
    </w:rPr>
  </w:style>
  <w:style w:type="paragraph" w:styleId="18">
    <w:name w:val="Subtitle"/>
    <w:qFormat/>
    <w:uiPriority w:val="16"/>
    <w:pPr>
      <w:jc w:val="center"/>
    </w:pPr>
    <w:rPr>
      <w:rFonts w:ascii="等线" w:hAnsi="等线" w:eastAsia="宋体" w:cs="Times New Roman"/>
      <w:sz w:val="24"/>
      <w:szCs w:val="24"/>
      <w:lang w:val="en-US" w:eastAsia="zh-CN" w:bidi="ar-SA"/>
    </w:rPr>
  </w:style>
  <w:style w:type="paragraph" w:styleId="19">
    <w:name w:val="toc 6"/>
    <w:next w:val="1"/>
    <w:unhideWhenUsed/>
    <w:qFormat/>
    <w:uiPriority w:val="33"/>
    <w:pPr>
      <w:ind w:left="2125"/>
      <w:jc w:val="both"/>
    </w:pPr>
    <w:rPr>
      <w:rFonts w:ascii="等线" w:hAnsi="等线" w:eastAsia="宋体" w:cs="Times New Roman"/>
      <w:sz w:val="21"/>
      <w:szCs w:val="21"/>
      <w:lang w:val="en-US" w:eastAsia="zh-CN" w:bidi="ar-SA"/>
    </w:rPr>
  </w:style>
  <w:style w:type="paragraph" w:styleId="20">
    <w:name w:val="toc 2"/>
    <w:next w:val="1"/>
    <w:unhideWhenUsed/>
    <w:qFormat/>
    <w:uiPriority w:val="29"/>
    <w:pPr>
      <w:ind w:left="425"/>
      <w:jc w:val="both"/>
    </w:pPr>
    <w:rPr>
      <w:rFonts w:ascii="等线" w:hAnsi="等线" w:eastAsia="宋体" w:cs="Times New Roman"/>
      <w:sz w:val="21"/>
      <w:szCs w:val="21"/>
      <w:lang w:val="en-US" w:eastAsia="zh-CN" w:bidi="ar-SA"/>
    </w:rPr>
  </w:style>
  <w:style w:type="paragraph" w:styleId="21">
    <w:name w:val="toc 9"/>
    <w:next w:val="1"/>
    <w:unhideWhenUsed/>
    <w:qFormat/>
    <w:uiPriority w:val="36"/>
    <w:pPr>
      <w:ind w:left="3400"/>
      <w:jc w:val="both"/>
    </w:pPr>
    <w:rPr>
      <w:rFonts w:ascii="等线" w:hAnsi="等线" w:eastAsia="宋体" w:cs="Times New Roman"/>
      <w:sz w:val="21"/>
      <w:szCs w:val="21"/>
      <w:lang w:val="en-US" w:eastAsia="zh-CN" w:bidi="ar-SA"/>
    </w:rPr>
  </w:style>
  <w:style w:type="paragraph" w:styleId="22">
    <w:name w:val="Title"/>
    <w:qFormat/>
    <w:uiPriority w:val="6"/>
    <w:pPr>
      <w:jc w:val="center"/>
    </w:pPr>
    <w:rPr>
      <w:rFonts w:ascii="等线" w:hAnsi="等线" w:eastAsia="宋体" w:cs="Times New Roman"/>
      <w:b/>
      <w:sz w:val="32"/>
      <w:szCs w:val="32"/>
      <w:lang w:val="en-US" w:eastAsia="zh-CN" w:bidi="ar-SA"/>
    </w:rPr>
  </w:style>
  <w:style w:type="character" w:styleId="24">
    <w:name w:val="Strong"/>
    <w:qFormat/>
    <w:uiPriority w:val="20"/>
    <w:rPr>
      <w:b/>
      <w:w w:val="100"/>
      <w:sz w:val="21"/>
      <w:szCs w:val="21"/>
      <w:shd w:val="clear" w:color="auto" w:fill="auto"/>
    </w:rPr>
  </w:style>
  <w:style w:type="character" w:styleId="25">
    <w:name w:val="Emphasis"/>
    <w:qFormat/>
    <w:uiPriority w:val="18"/>
    <w:rPr>
      <w:i/>
      <w:w w:val="100"/>
      <w:sz w:val="21"/>
      <w:szCs w:val="21"/>
      <w:shd w:val="clear" w:color="auto" w:fill="auto"/>
    </w:rPr>
  </w:style>
  <w:style w:type="character" w:styleId="26">
    <w:name w:val="Hyperlink"/>
    <w:basedOn w:val="23"/>
    <w:qFormat/>
    <w:uiPriority w:val="0"/>
    <w:rPr>
      <w:color w:val="0000FF"/>
      <w:u w:val="single"/>
    </w:rPr>
  </w:style>
  <w:style w:type="paragraph" w:customStyle="1" w:styleId="28">
    <w:name w:val="No Spacing"/>
    <w:qFormat/>
    <w:uiPriority w:val="5"/>
    <w:pPr>
      <w:jc w:val="both"/>
    </w:pPr>
    <w:rPr>
      <w:rFonts w:ascii="等线" w:hAnsi="等线" w:eastAsia="宋体" w:cs="Times New Roman"/>
      <w:sz w:val="21"/>
      <w:szCs w:val="21"/>
      <w:lang w:val="en-US" w:eastAsia="zh-CN" w:bidi="ar-SA"/>
    </w:rPr>
  </w:style>
  <w:style w:type="character" w:customStyle="1" w:styleId="29">
    <w:name w:val="Subtle Emphasis"/>
    <w:qFormat/>
    <w:uiPriority w:val="17"/>
    <w:rPr>
      <w:i/>
      <w:color w:val="404040"/>
      <w:w w:val="100"/>
      <w:sz w:val="21"/>
      <w:szCs w:val="21"/>
      <w:shd w:val="clear" w:color="auto" w:fill="auto"/>
    </w:rPr>
  </w:style>
  <w:style w:type="character" w:customStyle="1" w:styleId="30">
    <w:name w:val="Intense Emphasis"/>
    <w:qFormat/>
    <w:uiPriority w:val="19"/>
    <w:rPr>
      <w:i/>
      <w:color w:val="5B9BD5"/>
      <w:w w:val="100"/>
      <w:sz w:val="21"/>
      <w:szCs w:val="21"/>
      <w:shd w:val="clear" w:color="auto" w:fill="auto"/>
    </w:rPr>
  </w:style>
  <w:style w:type="paragraph" w:customStyle="1" w:styleId="31">
    <w:name w:val="Quote"/>
    <w:qFormat/>
    <w:uiPriority w:val="21"/>
    <w:pPr>
      <w:ind w:left="864" w:right="864"/>
      <w:jc w:val="center"/>
    </w:pPr>
    <w:rPr>
      <w:rFonts w:ascii="等线" w:hAnsi="等线" w:eastAsia="宋体" w:cs="Times New Roman"/>
      <w:i/>
      <w:color w:val="404040"/>
      <w:sz w:val="21"/>
      <w:szCs w:val="21"/>
      <w:lang w:val="en-US" w:eastAsia="zh-CN" w:bidi="ar-SA"/>
    </w:rPr>
  </w:style>
  <w:style w:type="paragraph" w:customStyle="1" w:styleId="32">
    <w:name w:val="Intense Quote"/>
    <w:qFormat/>
    <w:uiPriority w:val="22"/>
    <w:pPr>
      <w:ind w:left="950" w:right="950"/>
      <w:jc w:val="center"/>
    </w:pPr>
    <w:rPr>
      <w:rFonts w:ascii="等线" w:hAnsi="等线" w:eastAsia="宋体" w:cs="Times New Roman"/>
      <w:i/>
      <w:color w:val="5B9BD5"/>
      <w:sz w:val="21"/>
      <w:szCs w:val="21"/>
      <w:lang w:val="en-US" w:eastAsia="zh-CN" w:bidi="ar-SA"/>
    </w:rPr>
  </w:style>
  <w:style w:type="character" w:customStyle="1" w:styleId="33">
    <w:name w:val="Subtle Reference"/>
    <w:qFormat/>
    <w:uiPriority w:val="23"/>
    <w:rPr>
      <w:smallCaps/>
      <w:color w:val="5A5A5A"/>
      <w:w w:val="100"/>
      <w:sz w:val="21"/>
      <w:szCs w:val="21"/>
      <w:shd w:val="clear" w:color="auto" w:fill="auto"/>
    </w:rPr>
  </w:style>
  <w:style w:type="character" w:customStyle="1" w:styleId="34">
    <w:name w:val="Intense Reference"/>
    <w:qFormat/>
    <w:uiPriority w:val="24"/>
    <w:rPr>
      <w:b/>
      <w:smallCaps/>
      <w:color w:val="5B9BD5"/>
      <w:w w:val="100"/>
      <w:sz w:val="21"/>
      <w:szCs w:val="21"/>
      <w:shd w:val="clear" w:color="auto" w:fill="auto"/>
    </w:rPr>
  </w:style>
  <w:style w:type="character" w:customStyle="1" w:styleId="35">
    <w:name w:val="Book Title"/>
    <w:qFormat/>
    <w:uiPriority w:val="25"/>
    <w:rPr>
      <w:b/>
      <w:i/>
      <w:w w:val="100"/>
      <w:sz w:val="21"/>
      <w:szCs w:val="21"/>
      <w:shd w:val="clear" w:color="auto" w:fill="auto"/>
    </w:rPr>
  </w:style>
  <w:style w:type="paragraph" w:customStyle="1" w:styleId="36">
    <w:name w:val="List Paragraph"/>
    <w:basedOn w:val="1"/>
    <w:qFormat/>
    <w:uiPriority w:val="26"/>
    <w:pPr>
      <w:ind w:firstLine="420"/>
    </w:pPr>
  </w:style>
  <w:style w:type="paragraph" w:customStyle="1" w:styleId="37">
    <w:name w:val="TOC Heading"/>
    <w:unhideWhenUsed/>
    <w:qFormat/>
    <w:uiPriority w:val="27"/>
    <w:rPr>
      <w:rFonts w:ascii="等线" w:hAnsi="等线" w:eastAsia="宋体" w:cs="Times New Roman"/>
      <w:color w:val="2E74B5"/>
      <w:sz w:val="32"/>
      <w:szCs w:val="32"/>
      <w:lang w:val="en-US" w:eastAsia="zh-CN" w:bidi="ar-SA"/>
    </w:rPr>
  </w:style>
  <w:style w:type="character" w:customStyle="1" w:styleId="38">
    <w:name w:val="批注框文本 Char"/>
    <w:basedOn w:val="23"/>
    <w:link w:val="1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140</Words>
  <Characters>799</Characters>
  <Lines>6</Lines>
  <Paragraphs>1</Paragraphs>
  <TotalTime>0</TotalTime>
  <ScaleCrop>false</ScaleCrop>
  <LinksUpToDate>false</LinksUpToDate>
  <CharactersWithSpaces>938</CharactersWithSpaces>
  <Application>WPS Office_10.1.0.6750_F1E327BC-269C-435d-A152-05C5408002CA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2017-09-21T09:23:00Z</dcterms:created>
  <dc:creator>54947</dc:creator>
  <cp:lastModifiedBy>Administrator</cp:lastModifiedBy>
  <dcterms:modified xsi:type="dcterms:W3CDTF">2017-09-25T08:06:56Z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