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20" w:lineRule="exact"/>
        <w:jc w:val="center"/>
        <w:rPr>
          <w:rFonts w:hint="eastAsia"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中车株洲电力机车有限公司</w:t>
      </w:r>
    </w:p>
    <w:p>
      <w:pPr>
        <w:spacing w:line="420" w:lineRule="exact"/>
        <w:jc w:val="center"/>
        <w:rPr>
          <w:rFonts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2018届</w:t>
      </w:r>
      <w:r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  <w:t>春季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校园招聘会</w:t>
      </w:r>
    </w:p>
    <w:p>
      <w:pPr>
        <w:widowControl/>
        <w:autoSpaceDE w:val="0"/>
        <w:autoSpaceDN w:val="0"/>
        <w:adjustRightInd w:val="0"/>
        <w:jc w:val="left"/>
        <w:rPr>
          <w:rFonts w:ascii="华文细黑" w:hAnsi="华文细黑" w:eastAsia="华文细黑" w:cs="华文细黑"/>
          <w:b/>
          <w:color w:val="252525"/>
          <w:kern w:val="0"/>
          <w:sz w:val="28"/>
          <w:szCs w:val="28"/>
        </w:rPr>
      </w:pPr>
    </w:p>
    <w:p>
      <w:pPr>
        <w:widowControl/>
        <w:autoSpaceDE w:val="0"/>
        <w:autoSpaceDN w:val="0"/>
        <w:adjustRightInd w:val="0"/>
        <w:spacing w:line="276" w:lineRule="auto"/>
        <w:rPr>
          <w:rFonts w:ascii="华文细黑" w:hAnsi="华文细黑" w:eastAsia="华文细黑" w:cs="华文细黑"/>
          <w:b/>
          <w:bCs/>
          <w:color w:val="252525"/>
          <w:kern w:val="0"/>
          <w:sz w:val="32"/>
          <w:szCs w:val="32"/>
        </w:rPr>
      </w:pPr>
      <w:r>
        <w:rPr>
          <w:rFonts w:hint="eastAsia" w:ascii="华文细黑" w:hAnsi="华文细黑" w:eastAsia="华文细黑" w:cs="华文细黑"/>
          <w:b/>
          <w:bCs/>
          <w:color w:val="252525"/>
          <w:kern w:val="0"/>
          <w:sz w:val="32"/>
          <w:szCs w:val="32"/>
        </w:rPr>
        <w:t>公司简介</w:t>
      </w:r>
    </w:p>
    <w:p>
      <w:pPr>
        <w:widowControl/>
        <w:autoSpaceDE w:val="0"/>
        <w:autoSpaceDN w:val="0"/>
        <w:adjustRightInd w:val="0"/>
        <w:spacing w:line="276" w:lineRule="auto"/>
        <w:ind w:firstLine="560" w:firstLineChars="200"/>
        <w:rPr>
          <w:rFonts w:ascii="华文细黑" w:hAnsi="华文细黑" w:eastAsia="华文细黑" w:cs="华文细黑"/>
          <w:color w:val="252525"/>
          <w:kern w:val="0"/>
          <w:sz w:val="28"/>
          <w:szCs w:val="28"/>
        </w:rPr>
      </w:pPr>
      <w:r>
        <w:rPr>
          <w:rFonts w:hint="eastAsia" w:ascii="华文细黑" w:hAnsi="华文细黑" w:eastAsia="华文细黑" w:cs="华文细黑"/>
          <w:color w:val="252525"/>
          <w:kern w:val="0"/>
          <w:sz w:val="28"/>
          <w:szCs w:val="28"/>
        </w:rPr>
        <w:t>中车株洲电力机车有限公司坐</w:t>
      </w:r>
      <w:bookmarkStart w:id="0" w:name="_GoBack"/>
      <w:bookmarkEnd w:id="0"/>
      <w:r>
        <w:rPr>
          <w:rFonts w:hint="eastAsia" w:ascii="华文细黑" w:hAnsi="华文细黑" w:eastAsia="华文细黑" w:cs="华文细黑"/>
          <w:color w:val="252525"/>
          <w:kern w:val="0"/>
          <w:sz w:val="28"/>
          <w:szCs w:val="28"/>
        </w:rPr>
        <w:t>落于美丽的湘江之滨，毗邻京广、沪昆铁路线，占地2.25平方公里，中国中车旗下的核心子公司，中国最大的电力机车研制基地、湖南千亿轨道交通产业集群的龙头企业，被誉为“中国电力机车之都”。自1936年创建以来，始终保持快速健康发展，创造了中国轨道交通装备领域的诸多记录。公司主要业务集中在电力机车、城轨车辆、城际动车组，磁浮车辆、储能式有轨/无轨电车等新技术公共交通车辆、重要零部件、专有技术延伸产品及维保服务等领域。目前，公司总资产266余亿元，在国内外设有28家子公司，2015年实现销售收入260亿元、利税31.5亿元。</w:t>
      </w:r>
    </w:p>
    <w:p>
      <w:pPr>
        <w:widowControl/>
        <w:autoSpaceDE w:val="0"/>
        <w:autoSpaceDN w:val="0"/>
        <w:adjustRightInd w:val="0"/>
        <w:spacing w:line="276" w:lineRule="auto"/>
        <w:ind w:firstLine="560"/>
        <w:rPr>
          <w:rFonts w:ascii="华文细黑" w:hAnsi="华文细黑" w:eastAsia="华文细黑" w:cs="华文细黑"/>
          <w:color w:val="252525"/>
          <w:kern w:val="0"/>
          <w:sz w:val="28"/>
          <w:szCs w:val="28"/>
        </w:rPr>
      </w:pPr>
      <w:r>
        <w:rPr>
          <w:rFonts w:hint="eastAsia" w:ascii="华文细黑" w:hAnsi="华文细黑" w:eastAsia="华文细黑" w:cs="华文细黑"/>
          <w:color w:val="252525"/>
          <w:kern w:val="0"/>
          <w:sz w:val="28"/>
          <w:szCs w:val="28"/>
        </w:rPr>
        <w:t>公司所在城市株洲被誉为“火车拉来的城市”，是长株潭城市群三大核心之一，拥有国家绿化城市、国家卫生城市、国家文明城市、国家园林城市等荣誉称号，是一座以现代工业文明为特征的生态宜居城市。</w:t>
      </w:r>
    </w:p>
    <w:p>
      <w:pPr>
        <w:widowControl/>
        <w:autoSpaceDE w:val="0"/>
        <w:autoSpaceDN w:val="0"/>
        <w:adjustRightInd w:val="0"/>
        <w:spacing w:line="276" w:lineRule="auto"/>
        <w:ind w:firstLine="560"/>
        <w:rPr>
          <w:rFonts w:ascii="华文细黑" w:hAnsi="华文细黑" w:eastAsia="华文细黑" w:cs="华文细黑"/>
          <w:color w:val="252525"/>
          <w:kern w:val="0"/>
          <w:sz w:val="28"/>
          <w:szCs w:val="28"/>
        </w:rPr>
      </w:pPr>
    </w:p>
    <w:p>
      <w:pPr>
        <w:widowControl/>
        <w:autoSpaceDE w:val="0"/>
        <w:autoSpaceDN w:val="0"/>
        <w:adjustRightInd w:val="0"/>
        <w:spacing w:line="276" w:lineRule="auto"/>
        <w:rPr>
          <w:rFonts w:ascii="华文细黑" w:hAnsi="华文细黑" w:eastAsia="华文细黑" w:cs="华文细黑"/>
          <w:b/>
          <w:bCs/>
          <w:color w:val="252525"/>
          <w:kern w:val="0"/>
          <w:sz w:val="32"/>
          <w:szCs w:val="32"/>
        </w:rPr>
      </w:pPr>
      <w:r>
        <w:rPr>
          <w:rFonts w:hint="eastAsia" w:ascii="华文细黑" w:hAnsi="华文细黑" w:eastAsia="华文细黑" w:cs="华文细黑"/>
          <w:b/>
          <w:bCs/>
          <w:color w:val="252525"/>
          <w:kern w:val="0"/>
          <w:sz w:val="32"/>
          <w:szCs w:val="32"/>
        </w:rPr>
        <w:t>科研实力</w:t>
      </w:r>
    </w:p>
    <w:p>
      <w:pPr>
        <w:widowControl/>
        <w:autoSpaceDE w:val="0"/>
        <w:autoSpaceDN w:val="0"/>
        <w:adjustRightInd w:val="0"/>
        <w:spacing w:line="276" w:lineRule="auto"/>
        <w:rPr>
          <w:rFonts w:ascii="华文细黑" w:hAnsi="华文细黑" w:eastAsia="华文细黑" w:cs="华文细黑"/>
          <w:b/>
          <w:bCs/>
          <w:color w:val="252525"/>
          <w:kern w:val="0"/>
          <w:sz w:val="32"/>
          <w:szCs w:val="32"/>
        </w:rPr>
      </w:pPr>
      <w:r>
        <w:rPr>
          <w:rFonts w:hint="eastAsia" w:ascii="华文细黑" w:hAnsi="华文细黑" w:eastAsia="华文细黑" w:cs="华文细黑"/>
          <w:b/>
          <w:bCs/>
          <w:color w:val="252525"/>
          <w:kern w:val="0"/>
          <w:sz w:val="32"/>
          <w:szCs w:val="32"/>
        </w:rPr>
        <w:t xml:space="preserve">   </w:t>
      </w:r>
      <w:r>
        <w:rPr>
          <w:rFonts w:hint="eastAsia" w:ascii="华文细黑" w:hAnsi="华文细黑" w:eastAsia="华文细黑" w:cs="华文细黑"/>
          <w:color w:val="252525"/>
          <w:kern w:val="0"/>
          <w:sz w:val="28"/>
          <w:szCs w:val="28"/>
        </w:rPr>
        <w:t>大功率交流传动电力机车系统集成国家重点实验室（国家科技部）</w:t>
      </w:r>
    </w:p>
    <w:p>
      <w:pPr>
        <w:widowControl/>
        <w:autoSpaceDE w:val="0"/>
        <w:autoSpaceDN w:val="0"/>
        <w:adjustRightInd w:val="0"/>
        <w:spacing w:line="276" w:lineRule="auto"/>
        <w:rPr>
          <w:rFonts w:ascii="华文细黑" w:hAnsi="华文细黑" w:eastAsia="华文细黑" w:cs="华文细黑"/>
          <w:color w:val="252525"/>
          <w:kern w:val="0"/>
          <w:sz w:val="28"/>
          <w:szCs w:val="28"/>
        </w:rPr>
      </w:pPr>
      <w:r>
        <w:rPr>
          <w:rFonts w:hint="eastAsia" w:ascii="华文细黑" w:hAnsi="华文细黑" w:eastAsia="华文细黑" w:cs="华文细黑"/>
          <w:color w:val="252525"/>
          <w:kern w:val="0"/>
          <w:sz w:val="28"/>
          <w:szCs w:val="28"/>
        </w:rPr>
        <w:t xml:space="preserve">    轨道交通装备系统集成国家工程实验室（国家发改委）</w:t>
      </w:r>
    </w:p>
    <w:p>
      <w:pPr>
        <w:widowControl/>
        <w:autoSpaceDE w:val="0"/>
        <w:autoSpaceDN w:val="0"/>
        <w:adjustRightInd w:val="0"/>
        <w:spacing w:line="276" w:lineRule="auto"/>
        <w:rPr>
          <w:rFonts w:ascii="华文细黑" w:hAnsi="华文细黑" w:eastAsia="华文细黑" w:cs="华文细黑"/>
          <w:color w:val="252525"/>
          <w:kern w:val="0"/>
          <w:sz w:val="28"/>
          <w:szCs w:val="28"/>
        </w:rPr>
      </w:pPr>
      <w:r>
        <w:rPr>
          <w:rFonts w:hint="eastAsia" w:ascii="华文细黑" w:hAnsi="华文细黑" w:eastAsia="华文细黑" w:cs="华文细黑"/>
          <w:color w:val="252525"/>
          <w:kern w:val="0"/>
          <w:sz w:val="28"/>
          <w:szCs w:val="28"/>
        </w:rPr>
        <w:t xml:space="preserve">    轨道交通装备国家级工业设计中心（国家工信部）</w:t>
      </w:r>
    </w:p>
    <w:p>
      <w:pPr>
        <w:widowControl/>
        <w:autoSpaceDE w:val="0"/>
        <w:autoSpaceDN w:val="0"/>
        <w:adjustRightInd w:val="0"/>
        <w:spacing w:line="276" w:lineRule="auto"/>
        <w:ind w:firstLine="560" w:firstLineChars="200"/>
        <w:rPr>
          <w:rFonts w:ascii="华文细黑" w:hAnsi="华文细黑" w:eastAsia="华文细黑" w:cs="华文细黑"/>
          <w:color w:val="252525"/>
          <w:kern w:val="0"/>
          <w:sz w:val="28"/>
          <w:szCs w:val="28"/>
        </w:rPr>
      </w:pPr>
      <w:r>
        <w:rPr>
          <w:rFonts w:hint="eastAsia" w:ascii="华文细黑" w:hAnsi="华文细黑" w:eastAsia="华文细黑" w:cs="华文细黑"/>
          <w:color w:val="252525"/>
          <w:kern w:val="0"/>
          <w:sz w:val="28"/>
          <w:szCs w:val="28"/>
        </w:rPr>
        <w:t>国家级企业技术中心（国家发改委）</w:t>
      </w:r>
    </w:p>
    <w:p>
      <w:pPr>
        <w:widowControl/>
        <w:autoSpaceDE w:val="0"/>
        <w:autoSpaceDN w:val="0"/>
        <w:adjustRightInd w:val="0"/>
        <w:spacing w:line="276" w:lineRule="auto"/>
        <w:ind w:firstLine="560" w:firstLineChars="200"/>
        <w:rPr>
          <w:rFonts w:ascii="华文细黑" w:hAnsi="华文细黑" w:eastAsia="华文细黑" w:cs="华文细黑"/>
          <w:color w:val="252525"/>
          <w:kern w:val="0"/>
          <w:sz w:val="28"/>
          <w:szCs w:val="28"/>
        </w:rPr>
      </w:pPr>
      <w:r>
        <w:rPr>
          <w:rFonts w:hint="eastAsia" w:ascii="华文细黑" w:hAnsi="华文细黑" w:eastAsia="华文细黑" w:cs="华文细黑"/>
          <w:color w:val="252525"/>
          <w:kern w:val="0"/>
          <w:sz w:val="28"/>
          <w:szCs w:val="28"/>
        </w:rPr>
        <w:t>国家级博士后科研工作站（刘友梅院士）</w:t>
      </w:r>
    </w:p>
    <w:p>
      <w:pPr>
        <w:widowControl/>
        <w:autoSpaceDE w:val="0"/>
        <w:autoSpaceDN w:val="0"/>
        <w:adjustRightInd w:val="0"/>
        <w:spacing w:line="276" w:lineRule="auto"/>
        <w:ind w:firstLine="560" w:firstLineChars="200"/>
        <w:rPr>
          <w:rFonts w:ascii="华文细黑" w:hAnsi="华文细黑" w:eastAsia="华文细黑" w:cs="华文细黑"/>
          <w:color w:val="252525"/>
          <w:kern w:val="0"/>
          <w:sz w:val="28"/>
          <w:szCs w:val="28"/>
        </w:rPr>
      </w:pPr>
      <w:r>
        <w:rPr>
          <w:rFonts w:hint="eastAsia" w:ascii="华文细黑" w:hAnsi="华文细黑" w:eastAsia="华文细黑" w:cs="华文细黑"/>
          <w:color w:val="252525"/>
          <w:kern w:val="0"/>
          <w:sz w:val="28"/>
          <w:szCs w:val="28"/>
        </w:rPr>
        <w:t>院士工作站（清华大学吴澄院士）</w:t>
      </w:r>
    </w:p>
    <w:p>
      <w:pPr>
        <w:widowControl/>
        <w:autoSpaceDE w:val="0"/>
        <w:autoSpaceDN w:val="0"/>
        <w:adjustRightInd w:val="0"/>
        <w:spacing w:line="276" w:lineRule="auto"/>
        <w:rPr>
          <w:rFonts w:hint="eastAsia" w:ascii="华文细黑" w:hAnsi="华文细黑" w:eastAsia="华文细黑" w:cs="华文细黑"/>
          <w:b/>
          <w:bCs/>
          <w:color w:val="252525"/>
          <w:kern w:val="0"/>
          <w:sz w:val="32"/>
          <w:szCs w:val="32"/>
        </w:rPr>
      </w:pPr>
    </w:p>
    <w:p>
      <w:pPr>
        <w:widowControl/>
        <w:autoSpaceDE w:val="0"/>
        <w:autoSpaceDN w:val="0"/>
        <w:adjustRightInd w:val="0"/>
        <w:spacing w:line="276" w:lineRule="auto"/>
        <w:rPr>
          <w:rFonts w:ascii="华文细黑" w:hAnsi="华文细黑" w:eastAsia="华文细黑" w:cs="华文细黑"/>
          <w:b/>
          <w:bCs/>
          <w:color w:val="252525"/>
          <w:kern w:val="0"/>
          <w:sz w:val="32"/>
          <w:szCs w:val="32"/>
        </w:rPr>
      </w:pPr>
      <w:r>
        <w:rPr>
          <w:rFonts w:hint="eastAsia" w:ascii="华文细黑" w:hAnsi="华文细黑" w:eastAsia="华文细黑" w:cs="华文细黑"/>
          <w:b/>
          <w:bCs/>
          <w:color w:val="252525"/>
          <w:kern w:val="0"/>
          <w:sz w:val="32"/>
          <w:szCs w:val="32"/>
        </w:rPr>
        <w:t>国际化道路</w:t>
      </w:r>
    </w:p>
    <w:p>
      <w:pPr>
        <w:widowControl/>
        <w:autoSpaceDE w:val="0"/>
        <w:autoSpaceDN w:val="0"/>
        <w:adjustRightInd w:val="0"/>
        <w:spacing w:line="276" w:lineRule="auto"/>
        <w:ind w:firstLine="560" w:firstLineChars="200"/>
        <w:rPr>
          <w:rFonts w:ascii="STHeiti Light" w:hAnsi="STHeiti Light" w:eastAsia="STHeiti Light" w:cs="Songti SC"/>
          <w:b/>
          <w:color w:val="252525"/>
          <w:kern w:val="0"/>
          <w:sz w:val="28"/>
          <w:szCs w:val="28"/>
        </w:rPr>
      </w:pPr>
      <w:r>
        <w:rPr>
          <w:rFonts w:hint="eastAsia" w:ascii="华文细黑" w:hAnsi="华文细黑" w:eastAsia="华文细黑" w:cs="华文细黑"/>
          <w:color w:val="252525"/>
          <w:kern w:val="0"/>
          <w:sz w:val="28"/>
          <w:szCs w:val="28"/>
        </w:rPr>
        <w:t>作为中国装备“走出去”的先锋，公司自1997年实现中国电力机车整车出口“零”突破以来，先后在伊朗、乌兹别克斯坦、哈萨克斯坦、新加坡、土耳其、印度、马来西亚、南非、埃塞俄比亚、马其顿、塞尔维亚等国家获得近30个项目订单，出口产品包括机车、地铁、轻轨、动车组、地铁工程维护车，合同额累计300亿元。公司在马来西亚轨道交通领域的市场占有率达到80%以上，获得南非21亿美元电力机车订单，创造了中国轨道交通装备行业的出口之最，获得马其顿动车组订单，实现中国动车组首次出口欧洲。公司在马来西亚、南非、土耳其、印度、奥地利等国家成立多家子公司，开展国际化经营。国务院总理李克强来公司考察期间，评价株机的产品是中国装备“走出去”的代表作。</w:t>
      </w:r>
      <w:r>
        <w:rPr>
          <w:rFonts w:hint="eastAsia" w:ascii="STHeiti Light" w:hAnsi="STHeiti Light" w:eastAsia="STHeiti Light" w:cs="Songti SC"/>
          <w:b/>
          <w:color w:val="252525"/>
          <w:kern w:val="0"/>
          <w:sz w:val="28"/>
          <w:szCs w:val="28"/>
        </w:rPr>
        <w:t xml:space="preserve">   </w:t>
      </w:r>
    </w:p>
    <w:p>
      <w:pPr>
        <w:widowControl/>
        <w:autoSpaceDE w:val="0"/>
        <w:autoSpaceDN w:val="0"/>
        <w:adjustRightInd w:val="0"/>
        <w:spacing w:line="276" w:lineRule="auto"/>
        <w:rPr>
          <w:rFonts w:ascii="华文细黑" w:hAnsi="华文细黑" w:eastAsia="华文细黑" w:cs="华文细黑"/>
          <w:b/>
          <w:bCs/>
          <w:color w:val="252525"/>
          <w:kern w:val="0"/>
          <w:sz w:val="32"/>
          <w:szCs w:val="32"/>
        </w:rPr>
      </w:pPr>
    </w:p>
    <w:p>
      <w:pPr>
        <w:widowControl/>
        <w:autoSpaceDE w:val="0"/>
        <w:autoSpaceDN w:val="0"/>
        <w:adjustRightInd w:val="0"/>
        <w:spacing w:line="276" w:lineRule="auto"/>
        <w:rPr>
          <w:rFonts w:ascii="华文细黑" w:hAnsi="华文细黑" w:eastAsia="华文细黑" w:cs="华文细黑"/>
          <w:b/>
          <w:bCs/>
          <w:color w:val="252525"/>
          <w:kern w:val="0"/>
          <w:sz w:val="32"/>
          <w:szCs w:val="32"/>
        </w:rPr>
      </w:pPr>
      <w:r>
        <w:rPr>
          <w:rFonts w:hint="eastAsia" w:ascii="华文细黑" w:hAnsi="华文细黑" w:eastAsia="华文细黑" w:cs="华文细黑"/>
          <w:b/>
          <w:bCs/>
          <w:color w:val="252525"/>
          <w:kern w:val="0"/>
          <w:sz w:val="32"/>
          <w:szCs w:val="32"/>
        </w:rPr>
        <w:t>人才团队</w:t>
      </w:r>
    </w:p>
    <w:p>
      <w:pPr>
        <w:widowControl/>
        <w:autoSpaceDE w:val="0"/>
        <w:autoSpaceDN w:val="0"/>
        <w:adjustRightInd w:val="0"/>
        <w:spacing w:line="276" w:lineRule="auto"/>
        <w:ind w:firstLine="560" w:firstLineChars="200"/>
        <w:rPr>
          <w:rFonts w:ascii="华文细黑" w:hAnsi="华文细黑" w:eastAsia="华文细黑" w:cs="华文细黑"/>
          <w:color w:val="252525"/>
          <w:kern w:val="0"/>
          <w:sz w:val="28"/>
          <w:szCs w:val="28"/>
        </w:rPr>
      </w:pPr>
      <w:r>
        <w:rPr>
          <w:rFonts w:hint="eastAsia" w:ascii="华文细黑" w:hAnsi="华文细黑" w:eastAsia="华文细黑" w:cs="华文细黑"/>
          <w:color w:val="252525"/>
          <w:kern w:val="0"/>
          <w:sz w:val="28"/>
          <w:szCs w:val="28"/>
        </w:rPr>
        <w:t>公司在岗员工9700余人，拥有一支近2000人的工程技术团队，其中包括1名中国工程院院士，12名享受国务院津贴专家，70余名教授级高级工程师， 22名博士研究生。以刘友梅院士为主导，各资深专家、首席专家、骨干科研人员等组成的科研团队，带领公司成为轨道交通装备行业技术研发和科技创新的引领者。</w:t>
      </w:r>
    </w:p>
    <w:p>
      <w:pPr>
        <w:widowControl/>
        <w:autoSpaceDE w:val="0"/>
        <w:autoSpaceDN w:val="0"/>
        <w:adjustRightInd w:val="0"/>
        <w:spacing w:line="276" w:lineRule="auto"/>
        <w:rPr>
          <w:rFonts w:ascii="华文细黑" w:hAnsi="华文细黑" w:eastAsia="华文细黑" w:cs="华文细黑"/>
          <w:b/>
          <w:bCs/>
          <w:color w:val="252525"/>
          <w:kern w:val="0"/>
          <w:sz w:val="32"/>
          <w:szCs w:val="32"/>
        </w:rPr>
      </w:pPr>
    </w:p>
    <w:p>
      <w:pPr>
        <w:widowControl/>
        <w:autoSpaceDE w:val="0"/>
        <w:autoSpaceDN w:val="0"/>
        <w:adjustRightInd w:val="0"/>
        <w:spacing w:line="276" w:lineRule="auto"/>
        <w:rPr>
          <w:rFonts w:ascii="华文细黑" w:hAnsi="华文细黑" w:eastAsia="华文细黑" w:cs="华文细黑"/>
          <w:b/>
          <w:bCs/>
          <w:color w:val="252525"/>
          <w:kern w:val="0"/>
          <w:sz w:val="32"/>
          <w:szCs w:val="32"/>
        </w:rPr>
      </w:pPr>
      <w:r>
        <w:rPr>
          <w:rFonts w:hint="eastAsia" w:ascii="华文细黑" w:hAnsi="华文细黑" w:eastAsia="华文细黑" w:cs="华文细黑"/>
          <w:b/>
          <w:bCs/>
          <w:color w:val="252525"/>
          <w:kern w:val="0"/>
          <w:sz w:val="32"/>
          <w:szCs w:val="32"/>
        </w:rPr>
        <w:t>福利待遇</w:t>
      </w:r>
    </w:p>
    <w:p>
      <w:pPr>
        <w:widowControl/>
        <w:autoSpaceDE w:val="0"/>
        <w:autoSpaceDN w:val="0"/>
        <w:adjustRightInd w:val="0"/>
        <w:spacing w:line="276" w:lineRule="auto"/>
        <w:ind w:firstLine="480"/>
        <w:rPr>
          <w:rFonts w:ascii="华文细黑" w:hAnsi="华文细黑" w:eastAsia="华文细黑" w:cs="华文细黑"/>
          <w:color w:val="252525"/>
          <w:kern w:val="0"/>
          <w:sz w:val="28"/>
          <w:szCs w:val="28"/>
          <w:u w:val="single" w:color="252525"/>
        </w:rPr>
      </w:pPr>
      <w:r>
        <w:rPr>
          <w:rFonts w:hint="eastAsia" w:ascii="华文细黑" w:hAnsi="华文细黑" w:eastAsia="华文细黑" w:cs="华文细黑"/>
          <w:color w:val="252525"/>
          <w:kern w:val="0"/>
          <w:sz w:val="28"/>
          <w:szCs w:val="28"/>
          <w:u w:val="single" w:color="252525"/>
        </w:rPr>
        <w:t>顶尖的薪酬水平</w:t>
      </w:r>
    </w:p>
    <w:p>
      <w:pPr>
        <w:widowControl/>
        <w:autoSpaceDE w:val="0"/>
        <w:autoSpaceDN w:val="0"/>
        <w:adjustRightInd w:val="0"/>
        <w:spacing w:line="276" w:lineRule="auto"/>
        <w:ind w:firstLine="480"/>
        <w:rPr>
          <w:rFonts w:ascii="华文细黑" w:hAnsi="华文细黑" w:eastAsia="华文细黑" w:cs="华文细黑"/>
          <w:color w:val="252525"/>
          <w:kern w:val="0"/>
          <w:sz w:val="28"/>
          <w:szCs w:val="28"/>
        </w:rPr>
      </w:pPr>
      <w:r>
        <w:rPr>
          <w:rFonts w:hint="eastAsia" w:ascii="华文细黑" w:hAnsi="华文细黑" w:eastAsia="华文细黑" w:cs="华文细黑"/>
          <w:color w:val="252525"/>
          <w:kern w:val="0"/>
          <w:sz w:val="28"/>
          <w:szCs w:val="28"/>
        </w:rPr>
        <w:t>遵循绩效导向，体现价值的总体原则，以事业驱动为激励导向，形成多元化、高弹性的薪酬体系</w:t>
      </w:r>
    </w:p>
    <w:p>
      <w:pPr>
        <w:widowControl/>
        <w:autoSpaceDE w:val="0"/>
        <w:autoSpaceDN w:val="0"/>
        <w:adjustRightInd w:val="0"/>
        <w:spacing w:line="276" w:lineRule="auto"/>
        <w:ind w:firstLine="480"/>
        <w:rPr>
          <w:rFonts w:ascii="华文细黑" w:hAnsi="华文细黑" w:eastAsia="华文细黑" w:cs="华文细黑"/>
          <w:color w:val="252525"/>
          <w:kern w:val="0"/>
          <w:sz w:val="28"/>
          <w:szCs w:val="28"/>
          <w:u w:color="252525"/>
        </w:rPr>
      </w:pPr>
      <w:r>
        <w:rPr>
          <w:rFonts w:hint="eastAsia" w:ascii="华文细黑" w:hAnsi="华文细黑" w:eastAsia="华文细黑" w:cs="华文细黑"/>
          <w:color w:val="252525"/>
          <w:kern w:val="0"/>
          <w:sz w:val="28"/>
          <w:szCs w:val="28"/>
          <w:u w:color="252525"/>
        </w:rPr>
        <w:t>工资：岗位工资、绩效工资、年工工资、项目工资、年度/半年奖金、专项奖励</w:t>
      </w:r>
    </w:p>
    <w:p>
      <w:pPr>
        <w:spacing w:line="276" w:lineRule="auto"/>
        <w:rPr>
          <w:rFonts w:ascii="华文细黑" w:hAnsi="华文细黑" w:eastAsia="华文细黑" w:cs="华文细黑"/>
          <w:color w:val="252525"/>
          <w:kern w:val="0"/>
          <w:sz w:val="28"/>
          <w:szCs w:val="28"/>
        </w:rPr>
      </w:pPr>
      <w:r>
        <w:rPr>
          <w:rFonts w:hint="eastAsia" w:ascii="华文细黑" w:hAnsi="华文细黑" w:eastAsia="华文细黑" w:cs="华文细黑"/>
          <w:color w:val="252525"/>
          <w:kern w:val="0"/>
          <w:sz w:val="28"/>
          <w:szCs w:val="28"/>
        </w:rPr>
        <w:t xml:space="preserve">    本科生：实习期一年，转正后第一年年薪9-12万</w:t>
      </w:r>
    </w:p>
    <w:p>
      <w:pPr>
        <w:spacing w:line="276" w:lineRule="auto"/>
        <w:rPr>
          <w:rFonts w:ascii="华文细黑" w:hAnsi="华文细黑" w:eastAsia="华文细黑" w:cs="华文细黑"/>
          <w:color w:val="252525"/>
          <w:kern w:val="0"/>
          <w:sz w:val="28"/>
          <w:szCs w:val="28"/>
        </w:rPr>
      </w:pPr>
      <w:r>
        <w:rPr>
          <w:rFonts w:hint="eastAsia" w:ascii="华文细黑" w:hAnsi="华文细黑" w:eastAsia="华文细黑" w:cs="华文细黑"/>
          <w:color w:val="252525"/>
          <w:kern w:val="0"/>
          <w:sz w:val="28"/>
          <w:szCs w:val="28"/>
        </w:rPr>
        <w:t xml:space="preserve">    研究生：实习期一年，转正后第一年年薪12-15万</w:t>
      </w:r>
    </w:p>
    <w:p>
      <w:pPr>
        <w:spacing w:line="276" w:lineRule="auto"/>
        <w:rPr>
          <w:rFonts w:ascii="华文细黑" w:hAnsi="华文细黑" w:eastAsia="华文细黑" w:cs="华文细黑"/>
          <w:color w:val="252525"/>
          <w:kern w:val="0"/>
          <w:sz w:val="28"/>
          <w:szCs w:val="28"/>
        </w:rPr>
      </w:pPr>
      <w:r>
        <w:rPr>
          <w:rFonts w:hint="eastAsia" w:ascii="华文细黑" w:hAnsi="华文细黑" w:eastAsia="华文细黑" w:cs="华文细黑"/>
          <w:color w:val="252525"/>
          <w:kern w:val="0"/>
          <w:sz w:val="28"/>
          <w:szCs w:val="28"/>
        </w:rPr>
        <w:t xml:space="preserve">    博士生：第一年年薪20-30万</w:t>
      </w:r>
    </w:p>
    <w:p>
      <w:pPr>
        <w:widowControl/>
        <w:autoSpaceDE w:val="0"/>
        <w:autoSpaceDN w:val="0"/>
        <w:adjustRightInd w:val="0"/>
        <w:spacing w:line="276" w:lineRule="auto"/>
        <w:rPr>
          <w:rFonts w:ascii="华文细黑" w:hAnsi="华文细黑" w:eastAsia="华文细黑" w:cs="华文细黑"/>
          <w:color w:val="252525"/>
          <w:kern w:val="0"/>
          <w:sz w:val="28"/>
          <w:szCs w:val="28"/>
          <w:u w:val="single"/>
        </w:rPr>
      </w:pPr>
      <w:r>
        <w:rPr>
          <w:rFonts w:hint="eastAsia" w:ascii="华文细黑" w:hAnsi="华文细黑" w:eastAsia="华文细黑" w:cs="华文细黑"/>
          <w:color w:val="252525"/>
          <w:kern w:val="0"/>
          <w:sz w:val="28"/>
          <w:szCs w:val="28"/>
        </w:rPr>
        <w:t xml:space="preserve">    </w:t>
      </w:r>
      <w:r>
        <w:rPr>
          <w:rFonts w:hint="eastAsia" w:ascii="华文细黑" w:hAnsi="华文细黑" w:eastAsia="华文细黑" w:cs="华文细黑"/>
          <w:color w:val="252525"/>
          <w:kern w:val="0"/>
          <w:sz w:val="28"/>
          <w:szCs w:val="28"/>
          <w:u w:val="single"/>
        </w:rPr>
        <w:t>完善的福利保障</w:t>
      </w:r>
    </w:p>
    <w:p>
      <w:pPr>
        <w:widowControl/>
        <w:autoSpaceDE w:val="0"/>
        <w:autoSpaceDN w:val="0"/>
        <w:adjustRightInd w:val="0"/>
        <w:spacing w:line="276" w:lineRule="auto"/>
        <w:ind w:firstLine="560"/>
        <w:rPr>
          <w:rFonts w:ascii="华文细黑" w:hAnsi="华文细黑" w:eastAsia="华文细黑" w:cs="华文细黑"/>
          <w:color w:val="252525"/>
          <w:kern w:val="0"/>
          <w:sz w:val="28"/>
          <w:szCs w:val="28"/>
          <w:u w:color="252525"/>
        </w:rPr>
      </w:pPr>
      <w:r>
        <w:rPr>
          <w:rFonts w:hint="eastAsia" w:ascii="华文细黑" w:hAnsi="华文细黑" w:eastAsia="华文细黑" w:cs="华文细黑"/>
          <w:color w:val="252525"/>
          <w:kern w:val="0"/>
          <w:sz w:val="28"/>
          <w:szCs w:val="28"/>
          <w:u w:color="252525"/>
        </w:rPr>
        <w:t xml:space="preserve">基本福利：五险一金、补充医疗保险、企业年金、餐饮补贴、生活补贴、住房补贴、工作津贴、高温补贴、带薪年假、探亲假等。   </w:t>
      </w:r>
    </w:p>
    <w:p>
      <w:pPr>
        <w:widowControl/>
        <w:autoSpaceDE w:val="0"/>
        <w:autoSpaceDN w:val="0"/>
        <w:adjustRightInd w:val="0"/>
        <w:spacing w:line="276" w:lineRule="auto"/>
        <w:ind w:firstLine="560"/>
        <w:rPr>
          <w:rFonts w:ascii="华文细黑" w:hAnsi="华文细黑" w:eastAsia="华文细黑" w:cs="华文细黑"/>
          <w:color w:val="252525"/>
          <w:kern w:val="0"/>
          <w:sz w:val="28"/>
          <w:szCs w:val="28"/>
          <w:u w:color="252525"/>
        </w:rPr>
      </w:pPr>
      <w:r>
        <w:rPr>
          <w:rFonts w:hint="eastAsia" w:ascii="华文细黑" w:hAnsi="华文细黑" w:eastAsia="华文细黑" w:cs="华文细黑"/>
          <w:color w:val="252525"/>
          <w:kern w:val="0"/>
          <w:sz w:val="28"/>
          <w:szCs w:val="28"/>
          <w:u w:color="252525"/>
        </w:rPr>
        <w:t>其他福利：节日福利、酒店式公寓、运动场地、量身订做职业装及工作服、员工食堂、免费洗衣房、书吧、子弟幼儿园、集体疗养、及各种文体赛事</w:t>
      </w:r>
    </w:p>
    <w:p>
      <w:pPr>
        <w:widowControl/>
        <w:autoSpaceDE w:val="0"/>
        <w:autoSpaceDN w:val="0"/>
        <w:adjustRightInd w:val="0"/>
        <w:spacing w:line="276" w:lineRule="auto"/>
        <w:rPr>
          <w:rFonts w:ascii="华文细黑" w:hAnsi="华文细黑" w:eastAsia="华文细黑" w:cs="华文细黑"/>
          <w:b/>
          <w:bCs/>
          <w:color w:val="252525"/>
          <w:kern w:val="0"/>
          <w:sz w:val="32"/>
          <w:szCs w:val="32"/>
        </w:rPr>
      </w:pPr>
      <w:r>
        <w:rPr>
          <w:rFonts w:hint="eastAsia" w:ascii="华文细黑" w:hAnsi="华文细黑" w:eastAsia="华文细黑" w:cs="华文细黑"/>
          <w:b/>
          <w:bCs/>
          <w:color w:val="252525"/>
          <w:kern w:val="0"/>
          <w:sz w:val="32"/>
          <w:szCs w:val="32"/>
        </w:rPr>
        <w:t xml:space="preserve">   </w:t>
      </w:r>
    </w:p>
    <w:p>
      <w:pPr>
        <w:widowControl/>
        <w:autoSpaceDE w:val="0"/>
        <w:autoSpaceDN w:val="0"/>
        <w:adjustRightInd w:val="0"/>
        <w:spacing w:line="276" w:lineRule="auto"/>
        <w:rPr>
          <w:rFonts w:ascii="华文细黑" w:hAnsi="华文细黑" w:eastAsia="华文细黑" w:cs="华文细黑"/>
          <w:b/>
          <w:bCs/>
          <w:color w:val="252525"/>
          <w:kern w:val="0"/>
          <w:sz w:val="32"/>
          <w:szCs w:val="32"/>
        </w:rPr>
      </w:pPr>
      <w:r>
        <w:rPr>
          <w:rFonts w:hint="eastAsia" w:ascii="华文细黑" w:hAnsi="华文细黑" w:eastAsia="华文细黑" w:cs="华文细黑"/>
          <w:b/>
          <w:bCs/>
          <w:color w:val="252525"/>
          <w:kern w:val="0"/>
          <w:sz w:val="32"/>
          <w:szCs w:val="32"/>
        </w:rPr>
        <w:t>培育发展体系</w:t>
      </w:r>
    </w:p>
    <w:p>
      <w:pPr>
        <w:spacing w:line="276" w:lineRule="auto"/>
        <w:rPr>
          <w:rFonts w:ascii="华文细黑" w:hAnsi="华文细黑" w:eastAsia="华文细黑" w:cs="华文细黑"/>
          <w:color w:val="252525"/>
          <w:kern w:val="0"/>
          <w:sz w:val="28"/>
          <w:szCs w:val="28"/>
          <w:u w:val="single"/>
        </w:rPr>
      </w:pPr>
      <w:r>
        <w:rPr>
          <w:rFonts w:hint="eastAsia" w:ascii="华文细黑" w:hAnsi="华文细黑" w:eastAsia="华文细黑" w:cs="华文细黑"/>
          <w:color w:val="252525"/>
          <w:kern w:val="0"/>
          <w:sz w:val="24"/>
        </w:rPr>
        <w:t xml:space="preserve">     </w:t>
      </w:r>
      <w:r>
        <w:rPr>
          <w:rFonts w:hint="eastAsia" w:ascii="华文细黑" w:hAnsi="华文细黑" w:eastAsia="华文细黑" w:cs="华文细黑"/>
          <w:color w:val="252525"/>
          <w:kern w:val="0"/>
          <w:sz w:val="28"/>
          <w:szCs w:val="28"/>
          <w:u w:val="single"/>
        </w:rPr>
        <w:t>平等、科学的职业生涯发展通道</w:t>
      </w:r>
    </w:p>
    <w:p>
      <w:pPr>
        <w:spacing w:line="276" w:lineRule="auto"/>
        <w:rPr>
          <w:rFonts w:ascii="华文细黑" w:hAnsi="华文细黑" w:eastAsia="华文细黑" w:cs="华文细黑"/>
          <w:color w:val="252525"/>
          <w:kern w:val="0"/>
          <w:sz w:val="28"/>
          <w:szCs w:val="28"/>
        </w:rPr>
      </w:pPr>
      <w:r>
        <w:rPr>
          <w:rFonts w:hint="eastAsia" w:ascii="华文细黑" w:hAnsi="华文细黑" w:eastAsia="华文细黑" w:cs="华文细黑"/>
          <w:color w:val="252525"/>
          <w:kern w:val="0"/>
          <w:sz w:val="28"/>
          <w:szCs w:val="28"/>
        </w:rPr>
        <w:t xml:space="preserve">    多维等职业生涯发展通道，完善的各类人才职业发展机制，为员工提供充足的晋升机会和广阔的职业发展空间。</w:t>
      </w:r>
    </w:p>
    <w:p>
      <w:pPr>
        <w:spacing w:line="276" w:lineRule="auto"/>
        <w:rPr>
          <w:rFonts w:ascii="华文细黑" w:hAnsi="华文细黑" w:eastAsia="华文细黑" w:cs="华文细黑"/>
          <w:color w:val="252525"/>
          <w:kern w:val="0"/>
          <w:sz w:val="28"/>
          <w:szCs w:val="28"/>
          <w:u w:val="single"/>
        </w:rPr>
      </w:pPr>
      <w:r>
        <w:rPr>
          <w:rFonts w:hint="eastAsia" w:ascii="华文细黑" w:hAnsi="华文细黑" w:eastAsia="华文细黑" w:cs="华文细黑"/>
          <w:color w:val="252525"/>
          <w:kern w:val="0"/>
          <w:sz w:val="28"/>
          <w:szCs w:val="28"/>
        </w:rPr>
        <w:t xml:space="preserve">    </w:t>
      </w:r>
      <w:r>
        <w:rPr>
          <w:rFonts w:hint="eastAsia" w:ascii="华文细黑" w:hAnsi="华文细黑" w:eastAsia="华文细黑" w:cs="华文细黑"/>
          <w:color w:val="252525"/>
          <w:kern w:val="0"/>
          <w:sz w:val="28"/>
          <w:szCs w:val="28"/>
          <w:u w:val="single"/>
        </w:rPr>
        <w:t>完善的培训体系</w:t>
      </w:r>
    </w:p>
    <w:p>
      <w:pPr>
        <w:spacing w:line="276" w:lineRule="auto"/>
        <w:ind w:firstLine="560"/>
        <w:rPr>
          <w:rFonts w:ascii="STHeiti Light" w:hAnsi="STHeiti Light" w:eastAsia="STHeiti Light"/>
          <w:b/>
          <w:sz w:val="28"/>
          <w:szCs w:val="28"/>
        </w:rPr>
      </w:pPr>
      <w:r>
        <w:rPr>
          <w:rFonts w:hint="eastAsia" w:ascii="华文细黑" w:hAnsi="华文细黑" w:eastAsia="华文细黑" w:cs="华文细黑"/>
          <w:color w:val="252525"/>
          <w:kern w:val="0"/>
          <w:sz w:val="28"/>
          <w:szCs w:val="28"/>
        </w:rPr>
        <w:t>以任职资格能力需求和高端人才培养为核心的培训开发体系，年投入近两千万培训费用。与波鸿鲁尔大学、格拉兹工业大学、西南交通大学等全球7所顶尖院校建立战略合作关系，为优秀员工提供在职深造、公费读研读博机会。</w:t>
      </w:r>
    </w:p>
    <w:p>
      <w:pPr>
        <w:jc w:val="center"/>
        <w:rPr>
          <w:rFonts w:ascii="STHeiti Light" w:hAnsi="STHeiti Light" w:eastAsia="STHeiti Light"/>
          <w:b/>
          <w:sz w:val="28"/>
          <w:szCs w:val="28"/>
        </w:rPr>
      </w:pPr>
    </w:p>
    <w:p>
      <w:pPr>
        <w:jc w:val="center"/>
        <w:rPr>
          <w:rFonts w:ascii="微软雅黑" w:hAnsi="微软雅黑" w:eastAsia="微软雅黑" w:cs="微软雅黑"/>
          <w:b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sz w:val="28"/>
          <w:szCs w:val="28"/>
        </w:rPr>
        <w:t>诚聘以下专业的2018届应届大学生：</w:t>
      </w:r>
    </w:p>
    <w:tbl>
      <w:tblPr>
        <w:tblStyle w:val="3"/>
        <w:tblW w:w="8446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86"/>
        <w:gridCol w:w="3730"/>
        <w:gridCol w:w="1800"/>
        <w:gridCol w:w="2130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495" w:hRule="atLeast"/>
        </w:trPr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微软雅黑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3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微软雅黑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</w:rPr>
              <w:t>需求专业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Cs w:val="21"/>
              </w:rPr>
              <w:t>学历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Cs w:val="21"/>
              </w:rPr>
              <w:t>工作地点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459" w:hRule="atLeast"/>
        </w:trPr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微软雅黑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Cs w:val="21"/>
              </w:rPr>
              <w:t>机械制造及其自动化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Cs w:val="21"/>
              </w:rPr>
              <w:t>本科／硕士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Cs w:val="21"/>
              </w:rPr>
              <w:t>株洲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495" w:hRule="atLeast"/>
        </w:trPr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微软雅黑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Cs w:val="21"/>
              </w:rPr>
              <w:t>电气工程及其自动化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szCs w:val="21"/>
              </w:rPr>
              <w:t>本科／硕士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Cs w:val="21"/>
              </w:rPr>
              <w:t>株洲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495" w:hRule="atLeast"/>
        </w:trPr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Cs w:val="21"/>
                <w:lang w:eastAsia="zh-CN"/>
              </w:rPr>
              <w:t>计算机、软件工程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Cs w:val="21"/>
              </w:rPr>
              <w:t>本科／硕士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Cs w:val="21"/>
                <w:lang w:eastAsia="zh-CN"/>
              </w:rPr>
              <w:t>株洲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495" w:hRule="atLeast"/>
        </w:trPr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微软雅黑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Cs w:val="21"/>
              </w:rPr>
              <w:t>机电一体化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szCs w:val="21"/>
              </w:rPr>
              <w:t>本科／硕士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Cs w:val="21"/>
              </w:rPr>
              <w:t>株洲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495" w:hRule="atLeast"/>
        </w:trPr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微软雅黑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Cs w:val="21"/>
              </w:rPr>
              <w:t>工业</w:t>
            </w:r>
            <w:r>
              <w:rPr>
                <w:rFonts w:hint="eastAsia" w:ascii="微软雅黑" w:hAnsi="微软雅黑" w:eastAsia="微软雅黑" w:cs="微软雅黑"/>
                <w:szCs w:val="21"/>
                <w:lang w:eastAsia="zh-CN"/>
              </w:rPr>
              <w:t>工程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szCs w:val="21"/>
              </w:rPr>
              <w:t>本科／硕士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Cs w:val="21"/>
              </w:rPr>
              <w:t>株洲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495" w:hRule="atLeast"/>
        </w:trPr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微软雅黑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Cs w:val="21"/>
                <w:lang w:eastAsia="zh-CN"/>
              </w:rPr>
              <w:t>审计学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szCs w:val="21"/>
              </w:rPr>
              <w:t>本科／硕士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Cs w:val="21"/>
              </w:rPr>
              <w:t>株洲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495" w:hRule="atLeast"/>
        </w:trPr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3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Cs w:val="21"/>
                <w:lang w:eastAsia="zh-CN"/>
              </w:rPr>
              <w:t>市场营销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  <w:szCs w:val="21"/>
              </w:rPr>
              <w:t>本科／硕士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zCs w:val="21"/>
              </w:rPr>
              <w:t>株洲</w:t>
            </w:r>
          </w:p>
        </w:tc>
      </w:tr>
    </w:tbl>
    <w:p>
      <w:pPr>
        <w:rPr>
          <w:rFonts w:ascii="STHeiti Light" w:hAnsi="STHeiti Light" w:eastAsia="STHeiti Light"/>
          <w:sz w:val="24"/>
        </w:rPr>
      </w:pPr>
    </w:p>
    <w:p>
      <w:pPr>
        <w:rPr>
          <w:rFonts w:ascii="华文细黑" w:hAnsi="华文细黑" w:eastAsia="华文细黑" w:cs="华文细黑"/>
          <w:b/>
          <w:bCs/>
          <w:sz w:val="30"/>
          <w:szCs w:val="30"/>
        </w:rPr>
      </w:pPr>
      <w:r>
        <w:rPr>
          <w:rFonts w:hint="eastAsia" w:ascii="华文细黑" w:hAnsi="华文细黑" w:eastAsia="华文细黑" w:cs="华文细黑"/>
          <w:b/>
          <w:bCs/>
          <w:sz w:val="30"/>
          <w:szCs w:val="30"/>
        </w:rPr>
        <w:t>中车株机真诚欢迎您的加入！</w:t>
      </w:r>
    </w:p>
    <w:p>
      <w:pPr>
        <w:widowControl/>
        <w:autoSpaceDE w:val="0"/>
        <w:autoSpaceDN w:val="0"/>
        <w:adjustRightInd w:val="0"/>
        <w:jc w:val="left"/>
        <w:rPr>
          <w:rFonts w:ascii="STHeiti Light" w:hAnsi="STHeiti Light" w:eastAsia="STHeiti Light" w:cs="Songti SC"/>
          <w:b/>
          <w:color w:val="252525"/>
          <w:kern w:val="0"/>
          <w:sz w:val="28"/>
          <w:szCs w:val="28"/>
        </w:rPr>
      </w:pPr>
    </w:p>
    <w:p>
      <w:pPr>
        <w:widowControl/>
        <w:autoSpaceDE w:val="0"/>
        <w:autoSpaceDN w:val="0"/>
        <w:adjustRightInd w:val="0"/>
        <w:jc w:val="left"/>
        <w:rPr>
          <w:rFonts w:ascii="华文细黑" w:hAnsi="华文细黑" w:eastAsia="华文细黑" w:cs="华文细黑"/>
          <w:b/>
          <w:bCs/>
          <w:color w:val="252525"/>
          <w:kern w:val="0"/>
          <w:sz w:val="32"/>
          <w:szCs w:val="32"/>
        </w:rPr>
      </w:pPr>
      <w:r>
        <w:rPr>
          <w:rFonts w:hint="eastAsia" w:ascii="华文细黑" w:hAnsi="华文细黑" w:eastAsia="华文细黑" w:cs="华文细黑"/>
          <w:b/>
          <w:bCs/>
          <w:color w:val="252525"/>
          <w:kern w:val="0"/>
          <w:sz w:val="32"/>
          <w:szCs w:val="32"/>
        </w:rPr>
        <w:t>招聘流程</w:t>
      </w:r>
    </w:p>
    <w:p>
      <w:pPr>
        <w:rPr>
          <w:rFonts w:ascii="华文细黑" w:hAnsi="华文细黑" w:eastAsia="华文细黑" w:cs="华文细黑"/>
          <w:color w:val="252525"/>
          <w:kern w:val="0"/>
          <w:sz w:val="28"/>
          <w:szCs w:val="28"/>
        </w:rPr>
      </w:pPr>
      <w:r>
        <w:rPr>
          <w:rFonts w:hint="eastAsia" w:ascii="华文细黑" w:hAnsi="华文细黑" w:eastAsia="华文细黑" w:cs="华文细黑"/>
          <w:color w:val="252525"/>
          <w:kern w:val="0"/>
          <w:sz w:val="28"/>
          <w:szCs w:val="28"/>
        </w:rPr>
        <w:t>网上申请 → 宣讲会→简历筛选 → 在线胜任力测评 → 第一轮面试 → 在线英语测评 → 第二轮面试 → 答疑签约</w:t>
      </w:r>
    </w:p>
    <w:p>
      <w:pPr>
        <w:rPr>
          <w:rFonts w:ascii="华文细黑" w:hAnsi="华文细黑" w:eastAsia="华文细黑" w:cs="华文细黑"/>
          <w:color w:val="252525"/>
          <w:kern w:val="0"/>
          <w:sz w:val="28"/>
          <w:szCs w:val="28"/>
        </w:rPr>
      </w:pPr>
      <w:r>
        <w:rPr>
          <w:rFonts w:hint="eastAsia" w:ascii="华文细黑" w:hAnsi="华文细黑" w:eastAsia="华文细黑" w:cs="华文细黑"/>
          <w:color w:val="252525"/>
          <w:kern w:val="0"/>
          <w:sz w:val="28"/>
          <w:szCs w:val="28"/>
        </w:rPr>
        <w:t>补充说明：</w:t>
      </w:r>
    </w:p>
    <w:p>
      <w:pPr>
        <w:rPr>
          <w:rFonts w:ascii="华文细黑" w:hAnsi="华文细黑" w:eastAsia="华文细黑" w:cs="华文细黑"/>
          <w:color w:val="252525"/>
          <w:kern w:val="0"/>
          <w:sz w:val="28"/>
          <w:szCs w:val="28"/>
        </w:rPr>
      </w:pPr>
      <w:r>
        <w:rPr>
          <w:rFonts w:hint="eastAsia" w:ascii="华文细黑" w:hAnsi="华文细黑" w:eastAsia="华文细黑" w:cs="华文细黑"/>
          <w:color w:val="252525"/>
          <w:kern w:val="0"/>
          <w:sz w:val="28"/>
          <w:szCs w:val="28"/>
        </w:rPr>
        <w:t>1、宣讲会现场不接收纸质简历，请登录</w:t>
      </w:r>
      <w:r>
        <w:rPr>
          <w:rFonts w:hint="eastAsia" w:ascii="华文细黑" w:hAnsi="华文细黑" w:eastAsia="华文细黑" w:cs="华文细黑"/>
          <w:color w:val="252525"/>
          <w:kern w:val="0"/>
          <w:sz w:val="28"/>
          <w:szCs w:val="28"/>
        </w:rPr>
        <w:fldChar w:fldCharType="begin"/>
      </w:r>
      <w:r>
        <w:rPr>
          <w:rFonts w:hint="eastAsia" w:ascii="华文细黑" w:hAnsi="华文细黑" w:eastAsia="华文细黑" w:cs="华文细黑"/>
          <w:color w:val="252525"/>
          <w:kern w:val="0"/>
          <w:sz w:val="28"/>
          <w:szCs w:val="28"/>
        </w:rPr>
        <w:instrText xml:space="preserve"> HYPERLINK "http://nczj.zhiye.com" </w:instrText>
      </w:r>
      <w:r>
        <w:rPr>
          <w:rFonts w:hint="eastAsia" w:ascii="华文细黑" w:hAnsi="华文细黑" w:eastAsia="华文细黑" w:cs="华文细黑"/>
          <w:color w:val="252525"/>
          <w:kern w:val="0"/>
          <w:sz w:val="28"/>
          <w:szCs w:val="28"/>
        </w:rPr>
        <w:fldChar w:fldCharType="separate"/>
      </w:r>
      <w:r>
        <w:rPr>
          <w:rFonts w:hint="eastAsia" w:ascii="华文细黑" w:hAnsi="华文细黑" w:eastAsia="华文细黑" w:cs="华文细黑"/>
          <w:color w:val="252525"/>
          <w:kern w:val="0"/>
          <w:sz w:val="28"/>
          <w:szCs w:val="28"/>
        </w:rPr>
        <w:t>http://nczj.zhiye.com</w:t>
      </w:r>
      <w:r>
        <w:rPr>
          <w:rFonts w:hint="eastAsia" w:ascii="华文细黑" w:hAnsi="华文细黑" w:eastAsia="华文细黑" w:cs="华文细黑"/>
          <w:color w:val="252525"/>
          <w:kern w:val="0"/>
          <w:sz w:val="28"/>
          <w:szCs w:val="28"/>
        </w:rPr>
        <w:fldChar w:fldCharType="end"/>
      </w:r>
      <w:r>
        <w:rPr>
          <w:rFonts w:hint="eastAsia" w:ascii="华文细黑" w:hAnsi="华文细黑" w:eastAsia="华文细黑" w:cs="华文细黑"/>
          <w:color w:val="252525"/>
          <w:kern w:val="0"/>
          <w:sz w:val="28"/>
          <w:szCs w:val="28"/>
        </w:rPr>
        <w:t xml:space="preserve"> 进行电子简历投递。；</w:t>
      </w:r>
    </w:p>
    <w:p>
      <w:pPr>
        <w:rPr>
          <w:rFonts w:hint="eastAsia" w:ascii="华文细黑" w:hAnsi="华文细黑" w:eastAsia="华文细黑" w:cs="华文细黑"/>
          <w:color w:val="252525"/>
          <w:kern w:val="0"/>
          <w:sz w:val="28"/>
          <w:szCs w:val="28"/>
        </w:rPr>
      </w:pPr>
      <w:r>
        <w:rPr>
          <w:rFonts w:hint="eastAsia" w:ascii="华文细黑" w:hAnsi="华文细黑" w:eastAsia="华文细黑" w:cs="华文细黑"/>
          <w:color w:val="252525"/>
          <w:kern w:val="0"/>
          <w:sz w:val="28"/>
          <w:szCs w:val="28"/>
        </w:rPr>
        <w:t>2、请在宣讲会上要求的时间内完成在线胜任力测评（预计30分钟）。</w:t>
      </w:r>
    </w:p>
    <w:p>
      <w:pPr>
        <w:rPr>
          <w:rFonts w:ascii="华文细黑" w:hAnsi="华文细黑" w:eastAsia="华文细黑" w:cs="华文细黑"/>
          <w:color w:val="252525"/>
          <w:kern w:val="0"/>
          <w:sz w:val="28"/>
          <w:szCs w:val="28"/>
          <w:lang w:val="en-US"/>
        </w:rPr>
      </w:pPr>
    </w:p>
    <w:p>
      <w:pPr>
        <w:widowControl/>
        <w:autoSpaceDE w:val="0"/>
        <w:autoSpaceDN w:val="0"/>
        <w:adjustRightInd w:val="0"/>
        <w:jc w:val="left"/>
        <w:rPr>
          <w:rFonts w:ascii="华文细黑" w:hAnsi="华文细黑" w:eastAsia="华文细黑" w:cs="华文细黑"/>
          <w:b/>
          <w:bCs/>
          <w:color w:val="252525"/>
          <w:kern w:val="0"/>
          <w:sz w:val="32"/>
          <w:szCs w:val="32"/>
        </w:rPr>
      </w:pPr>
      <w:r>
        <w:rPr>
          <w:rFonts w:hint="eastAsia" w:ascii="华文细黑" w:hAnsi="华文细黑" w:eastAsia="华文细黑" w:cs="华文细黑"/>
          <w:b/>
          <w:bCs/>
          <w:color w:val="252525"/>
          <w:kern w:val="0"/>
          <w:sz w:val="32"/>
          <w:szCs w:val="32"/>
        </w:rPr>
        <w:t>联系方式</w:t>
      </w:r>
    </w:p>
    <w:p>
      <w:pPr>
        <w:rPr>
          <w:rFonts w:ascii="华文细黑" w:hAnsi="华文细黑" w:eastAsia="华文细黑" w:cs="华文细黑"/>
          <w:color w:val="252525"/>
          <w:kern w:val="0"/>
          <w:sz w:val="28"/>
          <w:szCs w:val="28"/>
        </w:rPr>
      </w:pPr>
      <w:r>
        <w:rPr>
          <w:rFonts w:hint="eastAsia" w:ascii="华文细黑" w:hAnsi="华文细黑" w:eastAsia="华文细黑" w:cs="华文细黑"/>
          <w:color w:val="252525"/>
          <w:kern w:val="0"/>
          <w:sz w:val="28"/>
          <w:szCs w:val="28"/>
        </w:rPr>
        <w:t>通信地址：湖南省株洲市石峰区田心路1号 中车株洲电力机车有限公司人力资源部</w:t>
      </w:r>
    </w:p>
    <w:p>
      <w:pPr>
        <w:rPr>
          <w:rFonts w:ascii="华文细黑" w:hAnsi="华文细黑" w:eastAsia="华文细黑" w:cs="华文细黑"/>
          <w:color w:val="252525"/>
          <w:kern w:val="0"/>
          <w:sz w:val="28"/>
          <w:szCs w:val="28"/>
        </w:rPr>
      </w:pPr>
      <w:r>
        <w:rPr>
          <w:rFonts w:hint="eastAsia" w:ascii="华文细黑" w:hAnsi="华文细黑" w:eastAsia="华文细黑" w:cs="华文细黑"/>
          <w:color w:val="252525"/>
          <w:kern w:val="0"/>
          <w:sz w:val="28"/>
          <w:szCs w:val="28"/>
        </w:rPr>
        <w:t>邮政编码：412001</w:t>
      </w:r>
    </w:p>
    <w:p>
      <w:pPr>
        <w:rPr>
          <w:rFonts w:ascii="华文细黑" w:hAnsi="华文细黑" w:eastAsia="华文细黑" w:cs="华文细黑"/>
          <w:color w:val="252525"/>
          <w:kern w:val="0"/>
          <w:sz w:val="28"/>
          <w:szCs w:val="28"/>
        </w:rPr>
      </w:pPr>
      <w:r>
        <w:rPr>
          <w:rFonts w:hint="eastAsia" w:ascii="华文细黑" w:hAnsi="华文细黑" w:eastAsia="华文细黑" w:cs="华文细黑"/>
          <w:color w:val="252525"/>
          <w:kern w:val="0"/>
          <w:sz w:val="28"/>
          <w:szCs w:val="28"/>
        </w:rPr>
        <w:t>联系电话：0731—28441432</w:t>
      </w:r>
    </w:p>
    <w:p>
      <w:pPr>
        <w:rPr>
          <w:rFonts w:ascii="华文细黑" w:hAnsi="华文细黑" w:eastAsia="华文细黑" w:cs="华文细黑"/>
          <w:color w:val="252525"/>
          <w:kern w:val="0"/>
          <w:sz w:val="28"/>
          <w:szCs w:val="28"/>
        </w:rPr>
      </w:pPr>
      <w:r>
        <w:rPr>
          <w:rFonts w:hint="eastAsia" w:ascii="华文细黑" w:hAnsi="华文细黑" w:eastAsia="华文细黑" w:cs="华文细黑"/>
          <w:color w:val="252525"/>
          <w:kern w:val="0"/>
          <w:sz w:val="28"/>
          <w:szCs w:val="28"/>
        </w:rPr>
        <w:t>公司网址：</w:t>
      </w:r>
      <w:r>
        <w:rPr>
          <w:rFonts w:hint="eastAsia" w:ascii="华文细黑" w:hAnsi="华文细黑" w:eastAsia="华文细黑" w:cs="华文细黑"/>
          <w:color w:val="252525"/>
          <w:kern w:val="0"/>
          <w:sz w:val="28"/>
          <w:szCs w:val="28"/>
        </w:rPr>
        <w:fldChar w:fldCharType="begin"/>
      </w:r>
      <w:r>
        <w:rPr>
          <w:rFonts w:hint="eastAsia" w:ascii="华文细黑" w:hAnsi="华文细黑" w:eastAsia="华文细黑" w:cs="华文细黑"/>
          <w:color w:val="252525"/>
          <w:kern w:val="0"/>
          <w:sz w:val="28"/>
          <w:szCs w:val="28"/>
        </w:rPr>
        <w:instrText xml:space="preserve"> HYPERLINK "http://www.c" </w:instrText>
      </w:r>
      <w:r>
        <w:rPr>
          <w:rFonts w:hint="eastAsia" w:ascii="华文细黑" w:hAnsi="华文细黑" w:eastAsia="华文细黑" w:cs="华文细黑"/>
          <w:color w:val="252525"/>
          <w:kern w:val="0"/>
          <w:sz w:val="28"/>
          <w:szCs w:val="28"/>
        </w:rPr>
        <w:fldChar w:fldCharType="separate"/>
      </w:r>
      <w:r>
        <w:rPr>
          <w:rFonts w:hint="eastAsia" w:ascii="华文细黑" w:hAnsi="华文细黑" w:eastAsia="华文细黑" w:cs="华文细黑"/>
          <w:color w:val="252525"/>
          <w:kern w:val="0"/>
          <w:sz w:val="28"/>
          <w:szCs w:val="28"/>
        </w:rPr>
        <w:t>www.c</w:t>
      </w:r>
      <w:r>
        <w:rPr>
          <w:rFonts w:hint="eastAsia" w:ascii="华文细黑" w:hAnsi="华文细黑" w:eastAsia="华文细黑" w:cs="华文细黑"/>
          <w:color w:val="252525"/>
          <w:kern w:val="0"/>
          <w:sz w:val="28"/>
          <w:szCs w:val="28"/>
        </w:rPr>
        <w:fldChar w:fldCharType="end"/>
      </w:r>
      <w:r>
        <w:rPr>
          <w:rFonts w:hint="eastAsia" w:ascii="华文细黑" w:hAnsi="华文细黑" w:eastAsia="华文细黑" w:cs="华文细黑"/>
          <w:color w:val="252525"/>
          <w:kern w:val="0"/>
          <w:sz w:val="28"/>
          <w:szCs w:val="28"/>
        </w:rPr>
        <w:t>rrcgc.cc/zj</w:t>
      </w:r>
    </w:p>
    <w:p>
      <w:pPr>
        <w:rPr>
          <w:rFonts w:ascii="华文细黑" w:hAnsi="华文细黑" w:eastAsia="华文细黑" w:cs="华文细黑"/>
          <w:color w:val="252525"/>
          <w:kern w:val="0"/>
          <w:sz w:val="28"/>
          <w:szCs w:val="28"/>
        </w:rPr>
      </w:pPr>
      <w:r>
        <w:rPr>
          <w:rFonts w:hint="eastAsia" w:ascii="华文细黑" w:hAnsi="华文细黑" w:eastAsia="华文细黑" w:cs="华文细黑"/>
          <w:color w:val="252525"/>
          <w:kern w:val="0"/>
          <w:sz w:val="28"/>
          <w:szCs w:val="28"/>
        </w:rPr>
        <w:t>联系邮箱：Crrczelchr@163.com</w:t>
      </w:r>
    </w:p>
    <w:p>
      <w:pPr>
        <w:rPr>
          <w:rFonts w:ascii="华文细黑" w:hAnsi="华文细黑" w:eastAsia="华文细黑" w:cs="华文细黑"/>
          <w:color w:val="252525"/>
          <w:kern w:val="0"/>
          <w:sz w:val="28"/>
          <w:szCs w:val="28"/>
        </w:rPr>
      </w:pPr>
      <w:r>
        <w:rPr>
          <w:rFonts w:hint="eastAsia" w:ascii="华文细黑" w:hAnsi="华文细黑" w:eastAsia="华文细黑" w:cs="华文细黑"/>
          <w:color w:val="252525"/>
          <w:kern w:val="0"/>
          <w:sz w:val="28"/>
          <w:szCs w:val="28"/>
        </w:rPr>
        <w:t>官方微信：“中车株机”(CSR-zhuzhou )</w:t>
      </w:r>
    </w:p>
    <w:p/>
    <w:sectPr>
      <w:pgSz w:w="11900" w:h="16840"/>
      <w:pgMar w:top="1440" w:right="1800" w:bottom="1440" w:left="1800" w:header="851" w:footer="992" w:gutter="0"/>
      <w:cols w:space="425" w:num="1"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STHeiti Light">
    <w:altName w:val="微软雅黑"/>
    <w:panose1 w:val="00000000000000000000"/>
    <w:charset w:val="86"/>
    <w:family w:val="auto"/>
    <w:pitch w:val="default"/>
    <w:sig w:usb0="00000000" w:usb1="00000000" w:usb2="00000010" w:usb3="00000000" w:csb0="00040001" w:csb1="00000000"/>
  </w:font>
  <w:font w:name="Songti SC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00000"/>
    <w:rsid w:val="444114BE"/>
    <w:rsid w:val="4BD51D3A"/>
    <w:rsid w:val="5ACA4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iPriority w:val="1"/>
  </w:style>
  <w:style w:type="table" w:default="1" w:styleId="3">
    <w:name w:val="Normal Table"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1869</Words>
  <Characters>2038</Characters>
  <Paragraphs>136</Paragraphs>
  <ScaleCrop>false</ScaleCrop>
  <LinksUpToDate>false</LinksUpToDate>
  <CharactersWithSpaces>2105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2017-09-20T03:17:00Z</dcterms:created>
  <dc:creator>125160052@qq.com</dc:creator>
  <cp:lastModifiedBy>ji</cp:lastModifiedBy>
  <dcterms:modified xsi:type="dcterms:W3CDTF">2018-03-06T07:50:17Z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